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DD3825" w:rsidRDefault="003129E8" w:rsidP="00DD6B5E">
      <w:pPr>
        <w:jc w:val="right"/>
        <w:rPr>
          <w:rFonts w:cs="Arial"/>
          <w:b/>
          <w:sz w:val="48"/>
          <w:szCs w:val="48"/>
        </w:rPr>
      </w:pPr>
      <w:bookmarkStart w:id="0" w:name="_Toc153189646"/>
      <w:r w:rsidRPr="00DD3825">
        <w:rPr>
          <w:rFonts w:cs="Arial"/>
          <w:b/>
          <w:sz w:val="48"/>
          <w:szCs w:val="48"/>
        </w:rPr>
        <w:t xml:space="preserve">Work Paper </w:t>
      </w:r>
      <w:bookmarkEnd w:id="0"/>
      <w:r w:rsidR="00AC6C3F" w:rsidRPr="00DD3825">
        <w:rPr>
          <w:rFonts w:cs="Arial"/>
          <w:b/>
          <w:sz w:val="48"/>
          <w:szCs w:val="48"/>
        </w:rPr>
        <w:t>PGE</w:t>
      </w:r>
      <w:r w:rsidR="006D2592" w:rsidRPr="00DD3825">
        <w:rPr>
          <w:rFonts w:cs="Arial"/>
          <w:b/>
          <w:sz w:val="48"/>
          <w:szCs w:val="48"/>
        </w:rPr>
        <w:t>COHVC168</w:t>
      </w:r>
    </w:p>
    <w:p w:rsidR="00A167EC" w:rsidRPr="00DD3825" w:rsidRDefault="00BF680E" w:rsidP="00A167EC">
      <w:pPr>
        <w:jc w:val="right"/>
        <w:rPr>
          <w:rFonts w:cs="Arial"/>
          <w:b/>
          <w:sz w:val="48"/>
          <w:szCs w:val="48"/>
        </w:rPr>
      </w:pPr>
      <w:r w:rsidRPr="00DD3825">
        <w:rPr>
          <w:rFonts w:cs="Arial"/>
          <w:b/>
          <w:sz w:val="48"/>
          <w:szCs w:val="48"/>
        </w:rPr>
        <w:t>Demand Controlled Ventilation</w:t>
      </w:r>
    </w:p>
    <w:p w:rsidR="003129E8" w:rsidRPr="00DD3825" w:rsidRDefault="003129E8" w:rsidP="002E0043">
      <w:pPr>
        <w:jc w:val="right"/>
        <w:rPr>
          <w:rFonts w:cs="Arial"/>
          <w:b/>
          <w:sz w:val="48"/>
          <w:szCs w:val="48"/>
        </w:rPr>
      </w:pPr>
      <w:bookmarkStart w:id="1" w:name="_Toc153189647"/>
      <w:r w:rsidRPr="00DD3825">
        <w:rPr>
          <w:rFonts w:cs="Arial"/>
          <w:b/>
          <w:sz w:val="48"/>
          <w:szCs w:val="48"/>
        </w:rPr>
        <w:t>Revision #</w:t>
      </w:r>
      <w:bookmarkEnd w:id="1"/>
      <w:r w:rsidR="00D7047A" w:rsidRPr="00DD3825">
        <w:rPr>
          <w:rFonts w:cs="Arial"/>
          <w:b/>
          <w:sz w:val="48"/>
          <w:szCs w:val="48"/>
        </w:rPr>
        <w:t xml:space="preserve"> </w:t>
      </w:r>
      <w:r w:rsidR="006D2592" w:rsidRPr="00DD3825">
        <w:rPr>
          <w:rFonts w:cs="Arial"/>
          <w:b/>
          <w:sz w:val="48"/>
          <w:szCs w:val="48"/>
        </w:rPr>
        <w:t>0</w:t>
      </w:r>
    </w:p>
    <w:p w:rsidR="003129E8" w:rsidRPr="00DD3825" w:rsidRDefault="003129E8" w:rsidP="003129E8"/>
    <w:p w:rsidR="00D7047A" w:rsidRPr="00DD3825" w:rsidRDefault="00DD6B5E" w:rsidP="00D7047A">
      <w:pPr>
        <w:pBdr>
          <w:bottom w:val="single" w:sz="4" w:space="1" w:color="auto"/>
        </w:pBdr>
        <w:rPr>
          <w:rFonts w:cs="Arial"/>
          <w:b/>
          <w:sz w:val="36"/>
          <w:szCs w:val="36"/>
        </w:rPr>
      </w:pPr>
      <w:r w:rsidRPr="00DD3825">
        <w:rPr>
          <w:rFonts w:cs="Arial"/>
          <w:b/>
          <w:sz w:val="36"/>
          <w:szCs w:val="36"/>
        </w:rPr>
        <w:t>Pacific Gas &amp; Electric</w:t>
      </w:r>
      <w:r w:rsidR="00DF21B8" w:rsidRPr="00DD3825">
        <w:rPr>
          <w:rFonts w:cs="Arial"/>
          <w:b/>
          <w:sz w:val="36"/>
          <w:szCs w:val="36"/>
        </w:rPr>
        <w:t xml:space="preserve"> Company</w:t>
      </w:r>
    </w:p>
    <w:p w:rsidR="00D7047A" w:rsidRPr="00DD3825" w:rsidRDefault="00661864" w:rsidP="00D7047A">
      <w:pPr>
        <w:rPr>
          <w:rFonts w:cs="Arial"/>
          <w:b/>
          <w:sz w:val="32"/>
          <w:szCs w:val="32"/>
        </w:rPr>
      </w:pPr>
      <w:r w:rsidRPr="00DD3825">
        <w:rPr>
          <w:rFonts w:cs="Arial"/>
          <w:b/>
          <w:sz w:val="32"/>
          <w:szCs w:val="32"/>
        </w:rPr>
        <w:t xml:space="preserve">Customer Energy Solutions </w:t>
      </w:r>
    </w:p>
    <w:p w:rsidR="00E34E73" w:rsidRPr="00DD3825" w:rsidRDefault="00E34E73" w:rsidP="00324D0F">
      <w:pPr>
        <w:rPr>
          <w:rFonts w:cs="Arial"/>
          <w:b/>
        </w:rPr>
      </w:pPr>
    </w:p>
    <w:p w:rsidR="00C274E0" w:rsidRPr="00DD3825" w:rsidRDefault="00C274E0" w:rsidP="00324D0F">
      <w:pPr>
        <w:rPr>
          <w:rFonts w:cs="Arial"/>
          <w:b/>
        </w:rPr>
      </w:pPr>
    </w:p>
    <w:p w:rsidR="00C274E0" w:rsidRPr="00DD3825" w:rsidRDefault="00C274E0" w:rsidP="00324D0F">
      <w:pPr>
        <w:rPr>
          <w:rFonts w:cs="Arial"/>
          <w:b/>
        </w:rPr>
      </w:pPr>
    </w:p>
    <w:p w:rsidR="00D67531" w:rsidRPr="00DD3825" w:rsidRDefault="00D67531" w:rsidP="00A167EC">
      <w:pPr>
        <w:ind w:right="-720"/>
        <w:rPr>
          <w:rFonts w:cs="Arial"/>
          <w:b/>
          <w:i/>
        </w:rPr>
      </w:pPr>
    </w:p>
    <w:p w:rsidR="00D67531" w:rsidRPr="00DD3825" w:rsidRDefault="00D67531" w:rsidP="00A167EC">
      <w:pPr>
        <w:ind w:right="-720"/>
        <w:rPr>
          <w:rFonts w:cs="Arial"/>
          <w:b/>
          <w:i/>
        </w:rPr>
      </w:pPr>
    </w:p>
    <w:p w:rsidR="006D2592" w:rsidRPr="00DD3825" w:rsidRDefault="006D2592" w:rsidP="00A167EC">
      <w:pPr>
        <w:ind w:right="-720"/>
        <w:rPr>
          <w:rFonts w:cs="Arial"/>
          <w:b/>
          <w:sz w:val="72"/>
          <w:szCs w:val="72"/>
        </w:rPr>
      </w:pPr>
    </w:p>
    <w:p w:rsidR="006D2592" w:rsidRPr="00DD3825" w:rsidRDefault="006D2592" w:rsidP="00A167EC">
      <w:pPr>
        <w:ind w:right="-720"/>
        <w:rPr>
          <w:rFonts w:cs="Arial"/>
          <w:b/>
          <w:sz w:val="72"/>
          <w:szCs w:val="72"/>
        </w:rPr>
      </w:pPr>
    </w:p>
    <w:p w:rsidR="00324D0F" w:rsidRPr="00DD3825" w:rsidRDefault="00BF680E" w:rsidP="00A167EC">
      <w:pPr>
        <w:ind w:right="-720"/>
        <w:rPr>
          <w:rFonts w:cs="Arial"/>
          <w:b/>
          <w:sz w:val="72"/>
          <w:szCs w:val="72"/>
        </w:rPr>
      </w:pPr>
      <w:r w:rsidRPr="00DD3825">
        <w:rPr>
          <w:rFonts w:cs="Arial"/>
          <w:b/>
          <w:sz w:val="72"/>
          <w:szCs w:val="72"/>
        </w:rPr>
        <w:t>Demand Controlled Ventilation for Single Zone Packaged HVAC</w:t>
      </w:r>
      <w:r w:rsidR="00735CB1" w:rsidRPr="00DD3825">
        <w:rPr>
          <w:rFonts w:cs="Arial"/>
          <w:b/>
          <w:sz w:val="72"/>
          <w:szCs w:val="72"/>
        </w:rPr>
        <w:t xml:space="preserve"> </w:t>
      </w:r>
    </w:p>
    <w:p w:rsidR="00CB3583" w:rsidRPr="00DD3825" w:rsidRDefault="00A167EC" w:rsidP="00DD3825">
      <w:pPr>
        <w:ind w:right="-720"/>
        <w:rPr>
          <w:rFonts w:cs="Arial"/>
          <w:b/>
          <w:i/>
        </w:rPr>
      </w:pPr>
      <w:r w:rsidRPr="00DD3825">
        <w:rPr>
          <w:rFonts w:cs="Arial"/>
          <w:b/>
        </w:rPr>
        <w:t xml:space="preserve">Measure Codes </w:t>
      </w:r>
      <w:r w:rsidR="00DD3825" w:rsidRPr="00DD3825">
        <w:rPr>
          <w:rFonts w:cs="Arial"/>
          <w:b/>
        </w:rPr>
        <w:t>HV026, HV027, HV028, HV029, HV030, HV031</w:t>
      </w:r>
    </w:p>
    <w:p w:rsidR="00D67531" w:rsidRPr="00DD3825" w:rsidRDefault="00D67531" w:rsidP="002E0043">
      <w:pPr>
        <w:rPr>
          <w:rFonts w:cs="Arial"/>
          <w:b/>
          <w:i/>
        </w:rPr>
      </w:pPr>
    </w:p>
    <w:p w:rsidR="003D3F36" w:rsidRPr="00DD3825" w:rsidRDefault="003D3F36" w:rsidP="00844B27">
      <w:pPr>
        <w:rPr>
          <w:rFonts w:cs="Arial"/>
          <w:b/>
          <w:i/>
        </w:rPr>
      </w:pPr>
    </w:p>
    <w:p w:rsidR="00E84DBD" w:rsidRPr="00DD3825" w:rsidRDefault="00E84DBD" w:rsidP="00844B27">
      <w:pPr>
        <w:rPr>
          <w:rFonts w:cs="Arial"/>
          <w:b/>
          <w:i/>
        </w:rPr>
      </w:pPr>
    </w:p>
    <w:p w:rsidR="00C274E0" w:rsidRPr="00DD3825" w:rsidRDefault="00C274E0" w:rsidP="00844B27">
      <w:pPr>
        <w:rPr>
          <w:rFonts w:cs="Arial"/>
          <w:b/>
          <w:i/>
        </w:rPr>
      </w:pPr>
    </w:p>
    <w:p w:rsidR="00C274E0" w:rsidRPr="00DD3825" w:rsidRDefault="00C274E0" w:rsidP="00844B27">
      <w:pPr>
        <w:rPr>
          <w:rFonts w:cs="Arial"/>
          <w:b/>
          <w:i/>
        </w:rPr>
      </w:pPr>
    </w:p>
    <w:p w:rsidR="00C274E0" w:rsidRPr="00DD3825" w:rsidRDefault="00C274E0" w:rsidP="00844B27">
      <w:pPr>
        <w:rPr>
          <w:rFonts w:cs="Arial"/>
          <w:b/>
          <w:i/>
        </w:rPr>
      </w:pPr>
    </w:p>
    <w:p w:rsidR="00C274E0" w:rsidRPr="00DD3825" w:rsidRDefault="00C274E0" w:rsidP="00844B27">
      <w:pPr>
        <w:rPr>
          <w:rFonts w:cs="Arial"/>
          <w:b/>
          <w:i/>
        </w:rPr>
      </w:pPr>
    </w:p>
    <w:p w:rsidR="00C274E0" w:rsidRPr="00DD3825" w:rsidRDefault="00C274E0" w:rsidP="00844B27">
      <w:pPr>
        <w:rPr>
          <w:rFonts w:cs="Arial"/>
          <w:b/>
          <w:i/>
        </w:rPr>
      </w:pPr>
    </w:p>
    <w:p w:rsidR="00C274E0" w:rsidRPr="00DD3825" w:rsidRDefault="00C274E0" w:rsidP="00844B27">
      <w:pPr>
        <w:rPr>
          <w:rFonts w:cs="Arial"/>
          <w:b/>
          <w:i/>
        </w:rPr>
      </w:pPr>
    </w:p>
    <w:p w:rsidR="00C274E0" w:rsidRPr="00DD3825" w:rsidRDefault="00C274E0" w:rsidP="00844B27">
      <w:pPr>
        <w:rPr>
          <w:rFonts w:cs="Arial"/>
          <w:b/>
          <w:i/>
        </w:rPr>
      </w:pPr>
    </w:p>
    <w:p w:rsidR="00C274E0" w:rsidRPr="00DD3825" w:rsidRDefault="00C274E0" w:rsidP="00844B27">
      <w:pPr>
        <w:rPr>
          <w:rFonts w:cs="Arial"/>
          <w:b/>
          <w:i/>
        </w:rPr>
      </w:pPr>
    </w:p>
    <w:p w:rsidR="00C274E0" w:rsidRPr="00DD3825" w:rsidRDefault="00C274E0" w:rsidP="00844B27">
      <w:pPr>
        <w:rPr>
          <w:rFonts w:cs="Arial"/>
          <w:b/>
          <w:i/>
        </w:rPr>
      </w:pPr>
    </w:p>
    <w:p w:rsidR="00C274E0" w:rsidRPr="00DD3825" w:rsidRDefault="00C274E0" w:rsidP="00844B27">
      <w:pPr>
        <w:rPr>
          <w:rFonts w:cs="Arial"/>
          <w:b/>
          <w:i/>
        </w:rPr>
      </w:pPr>
    </w:p>
    <w:p w:rsidR="00C274E0" w:rsidRPr="00DD3825" w:rsidRDefault="00C274E0" w:rsidP="00844B27">
      <w:pPr>
        <w:rPr>
          <w:rFonts w:cs="Arial"/>
          <w:b/>
          <w:i/>
        </w:rPr>
      </w:pPr>
    </w:p>
    <w:p w:rsidR="00C274E0" w:rsidRPr="00DD3825" w:rsidRDefault="00C274E0" w:rsidP="00844B27">
      <w:pPr>
        <w:rPr>
          <w:rFonts w:cs="Arial"/>
          <w:b/>
          <w:i/>
        </w:rPr>
      </w:pPr>
    </w:p>
    <w:p w:rsidR="006D2592" w:rsidRPr="00DD3825" w:rsidRDefault="006D2592" w:rsidP="00844B27">
      <w:pPr>
        <w:rPr>
          <w:rFonts w:cs="Arial"/>
          <w:b/>
          <w:i/>
        </w:rPr>
      </w:pPr>
    </w:p>
    <w:p w:rsidR="006D2592" w:rsidRPr="00DD3825" w:rsidRDefault="006D2592" w:rsidP="00844B27">
      <w:pPr>
        <w:rPr>
          <w:rFonts w:cs="Arial"/>
          <w:b/>
          <w:i/>
        </w:rPr>
      </w:pPr>
    </w:p>
    <w:p w:rsidR="00534386" w:rsidRPr="00DD3825" w:rsidRDefault="00534386" w:rsidP="00844B27">
      <w:pPr>
        <w:rPr>
          <w:rFonts w:cs="Arial"/>
          <w:b/>
          <w:i/>
        </w:rPr>
        <w:sectPr w:rsidR="00534386" w:rsidRPr="00DD3825" w:rsidSect="007002F0">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rsidR="00E71EF1" w:rsidRPr="00DD3825" w:rsidRDefault="00E731C6" w:rsidP="00E71EF1">
      <w:pPr>
        <w:pStyle w:val="Heading1"/>
      </w:pPr>
      <w:bookmarkStart w:id="2" w:name="_Toc304800192"/>
      <w:bookmarkStart w:id="3" w:name="_Toc324318330"/>
      <w:bookmarkStart w:id="4" w:name="_Toc324340474"/>
      <w:bookmarkStart w:id="5" w:name="_Toc386811702"/>
      <w:r w:rsidRPr="00DD3825">
        <w:lastRenderedPageBreak/>
        <w:t>At-</w:t>
      </w:r>
      <w:r w:rsidR="00E71EF1" w:rsidRPr="00DD3825">
        <w:t>a</w:t>
      </w:r>
      <w:r w:rsidRPr="00DD3825">
        <w:t>-</w:t>
      </w:r>
      <w:r w:rsidR="00E71EF1" w:rsidRPr="00DD3825">
        <w:t>Glance Summary</w:t>
      </w:r>
      <w:bookmarkEnd w:id="2"/>
      <w:bookmarkEnd w:id="3"/>
      <w:bookmarkEnd w:id="4"/>
      <w:bookmarkEnd w:id="5"/>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DD3825" w:rsidRPr="00DD3825" w:rsidTr="00DD3825">
        <w:trPr>
          <w:trHeight w:val="465"/>
        </w:trPr>
        <w:tc>
          <w:tcPr>
            <w:tcW w:w="4161" w:type="dxa"/>
            <w:shd w:val="pct20" w:color="000000" w:fill="FFFFFF"/>
          </w:tcPr>
          <w:p w:rsidR="00DD3825" w:rsidRPr="00DD3825" w:rsidRDefault="00DD3825" w:rsidP="0028709C">
            <w:pPr>
              <w:rPr>
                <w:rStyle w:val="Strong"/>
              </w:rPr>
            </w:pPr>
            <w:r w:rsidRPr="00DD3825">
              <w:rPr>
                <w:rStyle w:val="Strong"/>
              </w:rPr>
              <w:t>Applicable Measure Codes:</w:t>
            </w:r>
          </w:p>
        </w:tc>
        <w:tc>
          <w:tcPr>
            <w:tcW w:w="5487" w:type="dxa"/>
            <w:shd w:val="pct20" w:color="000000" w:fill="FFFFFF"/>
          </w:tcPr>
          <w:p w:rsidR="00DD3825" w:rsidRPr="00DD3825" w:rsidRDefault="00DD3825" w:rsidP="0028709C">
            <w:pPr>
              <w:rPr>
                <w:rFonts w:cs="Arial"/>
                <w:b/>
                <w:bCs/>
                <w:sz w:val="20"/>
                <w:szCs w:val="20"/>
              </w:rPr>
            </w:pPr>
            <w:r w:rsidRPr="00DD3825">
              <w:rPr>
                <w:rFonts w:cs="Arial"/>
                <w:b/>
                <w:bCs/>
                <w:sz w:val="20"/>
                <w:szCs w:val="20"/>
              </w:rPr>
              <w:t>HV026, HV027, HV028, HV029, HV030, HV031</w:t>
            </w:r>
          </w:p>
        </w:tc>
      </w:tr>
      <w:tr w:rsidR="00DD3825" w:rsidRPr="00DD3825" w:rsidTr="00783DAC">
        <w:trPr>
          <w:trHeight w:val="465"/>
        </w:trPr>
        <w:tc>
          <w:tcPr>
            <w:tcW w:w="4161" w:type="dxa"/>
            <w:shd w:val="pct5" w:color="000000" w:fill="FFFFFF"/>
          </w:tcPr>
          <w:p w:rsidR="000571F6" w:rsidRPr="00DD3825" w:rsidRDefault="00C63D95" w:rsidP="0028709C">
            <w:pPr>
              <w:rPr>
                <w:rStyle w:val="Strong"/>
              </w:rPr>
            </w:pPr>
            <w:r w:rsidRPr="00DD3825">
              <w:rPr>
                <w:rStyle w:val="Strong"/>
              </w:rPr>
              <w:t>Measure Description</w:t>
            </w:r>
            <w:r w:rsidR="000571F6" w:rsidRPr="00DD3825">
              <w:rPr>
                <w:rStyle w:val="Strong"/>
              </w:rPr>
              <w:t xml:space="preserve">: </w:t>
            </w:r>
          </w:p>
        </w:tc>
        <w:tc>
          <w:tcPr>
            <w:tcW w:w="5487" w:type="dxa"/>
            <w:shd w:val="pct5" w:color="000000" w:fill="FFFFFF"/>
          </w:tcPr>
          <w:p w:rsidR="000571F6" w:rsidRPr="00DD3825" w:rsidRDefault="00DB50D9" w:rsidP="005164A6">
            <w:pPr>
              <w:rPr>
                <w:rFonts w:cs="Arial"/>
                <w:sz w:val="20"/>
                <w:szCs w:val="20"/>
              </w:rPr>
            </w:pPr>
            <w:r w:rsidRPr="00DD3825">
              <w:rPr>
                <w:rFonts w:cs="Arial"/>
                <w:sz w:val="20"/>
                <w:szCs w:val="20"/>
              </w:rPr>
              <w:t>Add Demand Controlled Ventilation (DCV) to an existing packaged single zone direct expansion (DX) HVAC unit with an economizer.</w:t>
            </w:r>
          </w:p>
        </w:tc>
      </w:tr>
      <w:tr w:rsidR="00DD3825" w:rsidRPr="00DD3825" w:rsidTr="00783DAC">
        <w:trPr>
          <w:trHeight w:val="465"/>
        </w:trPr>
        <w:tc>
          <w:tcPr>
            <w:tcW w:w="4161" w:type="dxa"/>
            <w:shd w:val="pct20" w:color="000000" w:fill="FFFFFF"/>
          </w:tcPr>
          <w:p w:rsidR="000571F6" w:rsidRPr="00DD3825" w:rsidRDefault="00721C75" w:rsidP="0028709C">
            <w:pPr>
              <w:rPr>
                <w:rStyle w:val="Strong"/>
              </w:rPr>
            </w:pPr>
            <w:r w:rsidRPr="00DD3825">
              <w:rPr>
                <w:rStyle w:val="Strong"/>
              </w:rPr>
              <w:t>Energy Impact</w:t>
            </w:r>
            <w:r w:rsidR="000571F6" w:rsidRPr="00DD3825">
              <w:rPr>
                <w:rStyle w:val="Strong"/>
              </w:rPr>
              <w:t xml:space="preserve"> Common Units: </w:t>
            </w:r>
          </w:p>
        </w:tc>
        <w:tc>
          <w:tcPr>
            <w:tcW w:w="5487" w:type="dxa"/>
            <w:shd w:val="pct20" w:color="000000" w:fill="FFFFFF"/>
          </w:tcPr>
          <w:p w:rsidR="000571F6" w:rsidRPr="00DD3825" w:rsidRDefault="00FA56D6" w:rsidP="00DB50D9">
            <w:pPr>
              <w:rPr>
                <w:rFonts w:cs="Arial"/>
                <w:sz w:val="20"/>
                <w:szCs w:val="20"/>
              </w:rPr>
            </w:pPr>
            <w:r w:rsidRPr="00DD3825">
              <w:rPr>
                <w:rFonts w:cs="Arial"/>
                <w:sz w:val="20"/>
                <w:szCs w:val="20"/>
              </w:rPr>
              <w:t xml:space="preserve">State </w:t>
            </w:r>
            <w:r w:rsidR="000A2ABA" w:rsidRPr="00DD3825">
              <w:rPr>
                <w:rFonts w:cs="Arial"/>
                <w:sz w:val="20"/>
                <w:szCs w:val="20"/>
              </w:rPr>
              <w:t xml:space="preserve">work paper units: </w:t>
            </w:r>
            <w:r w:rsidR="00DB50D9" w:rsidRPr="00DD3825">
              <w:rPr>
                <w:rFonts w:cs="Arial"/>
                <w:sz w:val="20"/>
                <w:szCs w:val="20"/>
              </w:rPr>
              <w:t>per ton cooling capacity</w:t>
            </w:r>
          </w:p>
        </w:tc>
      </w:tr>
      <w:tr w:rsidR="00DD3825" w:rsidRPr="00DD3825" w:rsidTr="00783DAC">
        <w:trPr>
          <w:trHeight w:val="465"/>
        </w:trPr>
        <w:tc>
          <w:tcPr>
            <w:tcW w:w="4161" w:type="dxa"/>
            <w:shd w:val="pct5" w:color="000000" w:fill="FFFFFF"/>
          </w:tcPr>
          <w:p w:rsidR="000571F6" w:rsidRPr="00DD3825" w:rsidRDefault="00EB367C" w:rsidP="0028709C">
            <w:pPr>
              <w:rPr>
                <w:rStyle w:val="Strong"/>
              </w:rPr>
            </w:pPr>
            <w:r w:rsidRPr="00DD3825">
              <w:rPr>
                <w:rStyle w:val="Strong"/>
              </w:rPr>
              <w:t>Base Case Description:</w:t>
            </w:r>
          </w:p>
        </w:tc>
        <w:tc>
          <w:tcPr>
            <w:tcW w:w="5487" w:type="dxa"/>
            <w:shd w:val="pct5" w:color="000000" w:fill="FFFFFF"/>
          </w:tcPr>
          <w:p w:rsidR="005F57B5" w:rsidRPr="00DD3825" w:rsidRDefault="001F40FA" w:rsidP="000A2ABA">
            <w:pPr>
              <w:rPr>
                <w:rFonts w:cs="Arial"/>
                <w:sz w:val="20"/>
                <w:szCs w:val="20"/>
              </w:rPr>
            </w:pPr>
            <w:r w:rsidRPr="00DD3825">
              <w:rPr>
                <w:rFonts w:cs="Arial"/>
                <w:sz w:val="20"/>
                <w:szCs w:val="20"/>
              </w:rPr>
              <w:t>Fixed position ventilation corresponding to Title 24 2013 requirement or 20% of supply air, whichever is greater</w:t>
            </w:r>
          </w:p>
        </w:tc>
      </w:tr>
      <w:tr w:rsidR="00DD3825" w:rsidRPr="00DD3825" w:rsidTr="00783DAC">
        <w:trPr>
          <w:trHeight w:val="465"/>
        </w:trPr>
        <w:tc>
          <w:tcPr>
            <w:tcW w:w="4161" w:type="dxa"/>
            <w:shd w:val="pct20" w:color="000000" w:fill="FFFFFF"/>
          </w:tcPr>
          <w:p w:rsidR="000571F6" w:rsidRPr="00DD3825" w:rsidRDefault="00EE4094" w:rsidP="0028709C">
            <w:pPr>
              <w:rPr>
                <w:rStyle w:val="Strong"/>
              </w:rPr>
            </w:pPr>
            <w:r w:rsidRPr="00DD3825">
              <w:rPr>
                <w:rStyle w:val="Strong"/>
              </w:rPr>
              <w:t xml:space="preserve">Base Case </w:t>
            </w:r>
            <w:r w:rsidR="00EB367C" w:rsidRPr="00DD3825">
              <w:rPr>
                <w:rStyle w:val="Strong"/>
              </w:rPr>
              <w:t>Energy Consumption</w:t>
            </w:r>
            <w:r w:rsidR="000571F6" w:rsidRPr="00DD3825">
              <w:rPr>
                <w:rStyle w:val="Strong"/>
              </w:rPr>
              <w:t xml:space="preserve">: </w:t>
            </w:r>
          </w:p>
        </w:tc>
        <w:tc>
          <w:tcPr>
            <w:tcW w:w="5487" w:type="dxa"/>
            <w:shd w:val="pct20" w:color="000000" w:fill="FFFFFF"/>
          </w:tcPr>
          <w:p w:rsidR="000571F6" w:rsidRPr="00DD3825" w:rsidRDefault="00DF7681" w:rsidP="001F40FA">
            <w:pPr>
              <w:rPr>
                <w:rFonts w:cs="Arial"/>
                <w:sz w:val="20"/>
                <w:szCs w:val="20"/>
              </w:rPr>
            </w:pPr>
            <w:r w:rsidRPr="00DD3825">
              <w:rPr>
                <w:rFonts w:cs="Arial"/>
                <w:sz w:val="20"/>
                <w:szCs w:val="20"/>
              </w:rPr>
              <w:t xml:space="preserve">Source: </w:t>
            </w:r>
            <w:r w:rsidR="001F40FA" w:rsidRPr="00DD3825">
              <w:rPr>
                <w:rFonts w:cs="Arial"/>
                <w:sz w:val="20"/>
                <w:szCs w:val="20"/>
              </w:rPr>
              <w:t>DEER 2014 Prototype energy use with modifications described in §1.4.1. Varies by building type, climate zone, system type</w:t>
            </w:r>
          </w:p>
        </w:tc>
      </w:tr>
      <w:tr w:rsidR="00DD3825" w:rsidRPr="00DD3825" w:rsidTr="00783DAC">
        <w:trPr>
          <w:trHeight w:val="465"/>
        </w:trPr>
        <w:tc>
          <w:tcPr>
            <w:tcW w:w="4161" w:type="dxa"/>
            <w:shd w:val="pct5" w:color="000000" w:fill="FFFFFF"/>
          </w:tcPr>
          <w:p w:rsidR="002C4F1C" w:rsidRPr="00DD3825" w:rsidRDefault="002C4F1C" w:rsidP="0028709C">
            <w:pPr>
              <w:rPr>
                <w:rStyle w:val="Strong"/>
              </w:rPr>
            </w:pPr>
            <w:r w:rsidRPr="00DD3825">
              <w:rPr>
                <w:rStyle w:val="Strong"/>
              </w:rPr>
              <w:t>Measure Energy Consumption:</w:t>
            </w:r>
          </w:p>
          <w:p w:rsidR="00806EE8" w:rsidRPr="00DD3825" w:rsidRDefault="00806EE8" w:rsidP="0028709C">
            <w:pPr>
              <w:rPr>
                <w:rFonts w:cs="Arial"/>
                <w:b/>
                <w:sz w:val="20"/>
                <w:szCs w:val="20"/>
              </w:rPr>
            </w:pPr>
          </w:p>
        </w:tc>
        <w:tc>
          <w:tcPr>
            <w:tcW w:w="5487" w:type="dxa"/>
            <w:shd w:val="pct5" w:color="000000" w:fill="FFFFFF"/>
          </w:tcPr>
          <w:p w:rsidR="002C4F1C" w:rsidRPr="00DD3825" w:rsidRDefault="00DF7681" w:rsidP="00EB4429">
            <w:pPr>
              <w:rPr>
                <w:rFonts w:cs="Arial"/>
                <w:sz w:val="20"/>
                <w:szCs w:val="20"/>
              </w:rPr>
            </w:pPr>
            <w:r w:rsidRPr="00DD3825">
              <w:rPr>
                <w:rFonts w:cs="Arial"/>
                <w:sz w:val="20"/>
                <w:szCs w:val="20"/>
              </w:rPr>
              <w:t>Source:</w:t>
            </w:r>
            <w:r w:rsidR="00437BE1" w:rsidRPr="00DD3825">
              <w:rPr>
                <w:rFonts w:cs="Arial"/>
                <w:sz w:val="20"/>
                <w:szCs w:val="20"/>
              </w:rPr>
              <w:t xml:space="preserve"> </w:t>
            </w:r>
            <w:r w:rsidR="001F40FA" w:rsidRPr="00DD3825">
              <w:rPr>
                <w:rFonts w:cs="Arial"/>
                <w:sz w:val="20"/>
                <w:szCs w:val="20"/>
              </w:rPr>
              <w:t>DEER 2014 Prototype energy use with modifications described in §1.4.1 Varies by building type, climate zone, system type</w:t>
            </w:r>
          </w:p>
        </w:tc>
      </w:tr>
      <w:tr w:rsidR="00DD3825" w:rsidRPr="00DD3825" w:rsidTr="00783DAC">
        <w:trPr>
          <w:trHeight w:val="465"/>
        </w:trPr>
        <w:tc>
          <w:tcPr>
            <w:tcW w:w="4161" w:type="dxa"/>
            <w:shd w:val="pct20" w:color="000000" w:fill="FFFFFF"/>
          </w:tcPr>
          <w:p w:rsidR="00610FC6" w:rsidRPr="00DD3825" w:rsidRDefault="002C4F1C" w:rsidP="00A55DD1">
            <w:pPr>
              <w:rPr>
                <w:rStyle w:val="Strong"/>
              </w:rPr>
            </w:pPr>
            <w:r w:rsidRPr="00DD3825">
              <w:rPr>
                <w:rStyle w:val="Strong"/>
              </w:rPr>
              <w:t xml:space="preserve">Energy Savings </w:t>
            </w:r>
          </w:p>
          <w:p w:rsidR="002C4F1C" w:rsidRPr="00DD3825" w:rsidRDefault="002C4F1C" w:rsidP="00A55DD1">
            <w:pPr>
              <w:rPr>
                <w:rStyle w:val="Strong1"/>
                <w:b w:val="0"/>
              </w:rPr>
            </w:pPr>
            <w:r w:rsidRPr="00DD3825">
              <w:rPr>
                <w:rStyle w:val="Strong"/>
              </w:rPr>
              <w:t>(Base Case – Measure)</w:t>
            </w:r>
            <w:r w:rsidR="00610FC6" w:rsidRPr="00DD3825">
              <w:rPr>
                <w:rStyle w:val="Strong"/>
              </w:rPr>
              <w:t>:</w:t>
            </w:r>
          </w:p>
        </w:tc>
        <w:tc>
          <w:tcPr>
            <w:tcW w:w="5487" w:type="dxa"/>
            <w:shd w:val="pct20" w:color="000000" w:fill="FFFFFF"/>
          </w:tcPr>
          <w:p w:rsidR="002C4F1C" w:rsidRPr="00DD3825" w:rsidRDefault="00A84D4B" w:rsidP="001F40FA">
            <w:pPr>
              <w:rPr>
                <w:rFonts w:cs="Arial"/>
                <w:sz w:val="20"/>
                <w:szCs w:val="20"/>
              </w:rPr>
            </w:pPr>
            <w:r w:rsidRPr="00DD3825">
              <w:rPr>
                <w:rFonts w:cs="Arial"/>
                <w:sz w:val="20"/>
                <w:szCs w:val="20"/>
              </w:rPr>
              <w:t xml:space="preserve">Source: </w:t>
            </w:r>
            <w:r w:rsidR="001F40FA" w:rsidRPr="00DD3825">
              <w:rPr>
                <w:rFonts w:cs="Arial"/>
                <w:sz w:val="20"/>
                <w:szCs w:val="20"/>
              </w:rPr>
              <w:t>Base Case – Measure (see above)Varies by building type, climate zone, system type</w:t>
            </w:r>
            <w:r w:rsidR="004828D3" w:rsidRPr="00DD3825">
              <w:rPr>
                <w:rFonts w:cs="Arial"/>
                <w:sz w:val="20"/>
                <w:szCs w:val="20"/>
              </w:rPr>
              <w:t xml:space="preserve">. Averages: 82.119 kWh/ton, 5.848 therms/ton, </w:t>
            </w:r>
          </w:p>
        </w:tc>
      </w:tr>
      <w:tr w:rsidR="00DD3825" w:rsidRPr="00DD3825" w:rsidTr="00783DAC">
        <w:trPr>
          <w:trHeight w:val="465"/>
        </w:trPr>
        <w:tc>
          <w:tcPr>
            <w:tcW w:w="4161" w:type="dxa"/>
            <w:shd w:val="pct5" w:color="000000" w:fill="FFFFFF"/>
          </w:tcPr>
          <w:p w:rsidR="000571F6" w:rsidRPr="00DD3825" w:rsidRDefault="000571F6" w:rsidP="0028709C">
            <w:pPr>
              <w:rPr>
                <w:rStyle w:val="Strong"/>
              </w:rPr>
            </w:pPr>
            <w:r w:rsidRPr="00DD3825">
              <w:rPr>
                <w:rStyle w:val="Strong"/>
              </w:rPr>
              <w:t xml:space="preserve">Costs Common Units: </w:t>
            </w:r>
          </w:p>
        </w:tc>
        <w:tc>
          <w:tcPr>
            <w:tcW w:w="5487" w:type="dxa"/>
            <w:shd w:val="pct5" w:color="000000" w:fill="FFFFFF"/>
          </w:tcPr>
          <w:p w:rsidR="000571F6" w:rsidRPr="00DD3825" w:rsidRDefault="001F40FA" w:rsidP="0028709C">
            <w:pPr>
              <w:rPr>
                <w:rFonts w:cs="Arial"/>
                <w:sz w:val="20"/>
                <w:szCs w:val="20"/>
              </w:rPr>
            </w:pPr>
            <w:r w:rsidRPr="00DD3825">
              <w:rPr>
                <w:rFonts w:cs="Arial"/>
                <w:sz w:val="20"/>
                <w:szCs w:val="20"/>
              </w:rPr>
              <w:t>per ton cooling capacity</w:t>
            </w:r>
          </w:p>
        </w:tc>
      </w:tr>
      <w:tr w:rsidR="00DD3825" w:rsidRPr="00DD3825" w:rsidTr="00783DAC">
        <w:trPr>
          <w:trHeight w:val="465"/>
        </w:trPr>
        <w:tc>
          <w:tcPr>
            <w:tcW w:w="4161" w:type="dxa"/>
            <w:shd w:val="pct20" w:color="000000" w:fill="FFFFFF"/>
          </w:tcPr>
          <w:p w:rsidR="007B44FB" w:rsidRPr="00DD3825" w:rsidRDefault="007B44FB" w:rsidP="0028709C">
            <w:pPr>
              <w:rPr>
                <w:rStyle w:val="Strong"/>
              </w:rPr>
            </w:pPr>
            <w:r w:rsidRPr="00DD3825">
              <w:rPr>
                <w:rStyle w:val="Strong"/>
              </w:rPr>
              <w:t>Base Case Equipment Cost ($/unit):</w:t>
            </w:r>
          </w:p>
          <w:p w:rsidR="00806EE8" w:rsidRPr="00DD3825" w:rsidRDefault="00806EE8" w:rsidP="000E22C9"/>
        </w:tc>
        <w:tc>
          <w:tcPr>
            <w:tcW w:w="5487" w:type="dxa"/>
            <w:shd w:val="pct20" w:color="000000" w:fill="FFFFFF"/>
          </w:tcPr>
          <w:p w:rsidR="007B44FB" w:rsidRPr="00DD3825" w:rsidRDefault="00FB689D" w:rsidP="00EB4429">
            <w:pPr>
              <w:rPr>
                <w:rFonts w:cs="Arial"/>
                <w:sz w:val="20"/>
                <w:szCs w:val="20"/>
              </w:rPr>
            </w:pPr>
            <w:r w:rsidRPr="00DD3825">
              <w:rPr>
                <w:rFonts w:cs="Arial"/>
                <w:sz w:val="20"/>
                <w:szCs w:val="20"/>
              </w:rPr>
              <w:t>$0</w:t>
            </w:r>
          </w:p>
        </w:tc>
      </w:tr>
      <w:tr w:rsidR="00DD3825" w:rsidRPr="00DD3825" w:rsidTr="00783DAC">
        <w:trPr>
          <w:trHeight w:val="465"/>
        </w:trPr>
        <w:tc>
          <w:tcPr>
            <w:tcW w:w="4161" w:type="dxa"/>
            <w:shd w:val="pct5" w:color="000000" w:fill="FFFFFF"/>
          </w:tcPr>
          <w:p w:rsidR="000571F6" w:rsidRPr="00DD3825" w:rsidRDefault="000571F6" w:rsidP="0028709C">
            <w:pPr>
              <w:rPr>
                <w:rStyle w:val="Strong"/>
              </w:rPr>
            </w:pPr>
            <w:r w:rsidRPr="00DD3825">
              <w:rPr>
                <w:rStyle w:val="Strong"/>
              </w:rPr>
              <w:t xml:space="preserve">Measure Equipment Cost ($/unit): </w:t>
            </w:r>
          </w:p>
        </w:tc>
        <w:tc>
          <w:tcPr>
            <w:tcW w:w="5487" w:type="dxa"/>
            <w:shd w:val="pct5" w:color="000000" w:fill="FFFFFF"/>
          </w:tcPr>
          <w:p w:rsidR="00FB689D" w:rsidRPr="00DD3825" w:rsidRDefault="00A84D4B" w:rsidP="00FB689D">
            <w:pPr>
              <w:spacing w:before="40" w:after="40"/>
              <w:rPr>
                <w:sz w:val="20"/>
              </w:rPr>
            </w:pPr>
            <w:r w:rsidRPr="00DD3825">
              <w:rPr>
                <w:rFonts w:cs="Arial"/>
                <w:sz w:val="20"/>
                <w:szCs w:val="20"/>
              </w:rPr>
              <w:t xml:space="preserve">Source: </w:t>
            </w:r>
            <w:r w:rsidR="00FB689D" w:rsidRPr="00DD3825">
              <w:rPr>
                <w:rFonts w:cs="Arial"/>
                <w:sz w:val="20"/>
                <w:szCs w:val="20"/>
              </w:rPr>
              <w:t xml:space="preserve">Estimate, see §4.2 for estimate detail. </w:t>
            </w:r>
            <w:r w:rsidR="00437BE1" w:rsidRPr="00DD3825">
              <w:rPr>
                <w:rFonts w:cs="Arial"/>
                <w:sz w:val="20"/>
                <w:szCs w:val="20"/>
              </w:rPr>
              <w:t xml:space="preserve"> </w:t>
            </w:r>
            <w:r w:rsidR="00FB689D" w:rsidRPr="00DD3825">
              <w:rPr>
                <w:sz w:val="20"/>
              </w:rPr>
              <w:t xml:space="preserve">Add ADEC and CO2 sensor to </w:t>
            </w:r>
            <w:r w:rsidR="00751CDE">
              <w:rPr>
                <w:sz w:val="20"/>
              </w:rPr>
              <w:t>existing system</w:t>
            </w:r>
            <w:r w:rsidR="00FB689D" w:rsidRPr="00DD3825">
              <w:rPr>
                <w:sz w:val="20"/>
              </w:rPr>
              <w:t>: $97.62/ton</w:t>
            </w:r>
          </w:p>
          <w:p w:rsidR="00FB689D" w:rsidRPr="00DD3825" w:rsidRDefault="00FB689D" w:rsidP="00FB689D">
            <w:pPr>
              <w:spacing w:before="40" w:after="40"/>
            </w:pPr>
            <w:r w:rsidRPr="00DD3825">
              <w:rPr>
                <w:sz w:val="20"/>
              </w:rPr>
              <w:t xml:space="preserve">Add CO2 sensor to </w:t>
            </w:r>
            <w:r w:rsidR="00751CDE">
              <w:rPr>
                <w:sz w:val="20"/>
              </w:rPr>
              <w:t>existing system</w:t>
            </w:r>
            <w:r w:rsidRPr="00DD3825">
              <w:rPr>
                <w:sz w:val="20"/>
              </w:rPr>
              <w:t xml:space="preserve"> with ADEC</w:t>
            </w:r>
            <w:r w:rsidRPr="00DD3825">
              <w:t>: $</w:t>
            </w:r>
            <w:r w:rsidRPr="00DD3825">
              <w:rPr>
                <w:sz w:val="20"/>
              </w:rPr>
              <w:t>32.48/ton</w:t>
            </w:r>
          </w:p>
          <w:p w:rsidR="000571F6" w:rsidRPr="00DD3825" w:rsidRDefault="000571F6" w:rsidP="00FB689D">
            <w:pPr>
              <w:rPr>
                <w:rFonts w:cs="Arial"/>
                <w:sz w:val="20"/>
                <w:szCs w:val="20"/>
              </w:rPr>
            </w:pPr>
          </w:p>
        </w:tc>
      </w:tr>
      <w:tr w:rsidR="00DD3825" w:rsidRPr="00DD3825" w:rsidTr="00783DAC">
        <w:trPr>
          <w:trHeight w:val="465"/>
        </w:trPr>
        <w:tc>
          <w:tcPr>
            <w:tcW w:w="4161" w:type="dxa"/>
            <w:shd w:val="pct20" w:color="000000" w:fill="FFFFFF"/>
          </w:tcPr>
          <w:p w:rsidR="001E7CA0" w:rsidRPr="00DD3825" w:rsidRDefault="001E7CA0" w:rsidP="0028709C">
            <w:pPr>
              <w:rPr>
                <w:rStyle w:val="Strong"/>
              </w:rPr>
            </w:pPr>
            <w:r w:rsidRPr="00DD3825">
              <w:rPr>
                <w:rStyle w:val="Strong"/>
              </w:rPr>
              <w:t>Gross Measure Cost ($/unit)</w:t>
            </w:r>
          </w:p>
        </w:tc>
        <w:tc>
          <w:tcPr>
            <w:tcW w:w="5487" w:type="dxa"/>
            <w:shd w:val="pct20" w:color="000000" w:fill="FFFFFF"/>
          </w:tcPr>
          <w:p w:rsidR="00FB689D" w:rsidRPr="00DD3825" w:rsidRDefault="00FB689D" w:rsidP="00FB689D">
            <w:pPr>
              <w:rPr>
                <w:rFonts w:cs="Arial"/>
                <w:sz w:val="20"/>
                <w:szCs w:val="20"/>
              </w:rPr>
            </w:pPr>
            <w:r w:rsidRPr="00DD3825">
              <w:rPr>
                <w:rFonts w:cs="Arial"/>
                <w:sz w:val="20"/>
                <w:szCs w:val="20"/>
              </w:rPr>
              <w:t xml:space="preserve">Add ADEC and CO2 sensor to </w:t>
            </w:r>
            <w:r w:rsidR="00751CDE">
              <w:rPr>
                <w:sz w:val="20"/>
              </w:rPr>
              <w:t>existing system</w:t>
            </w:r>
            <w:r w:rsidRPr="00DD3825">
              <w:rPr>
                <w:rFonts w:cs="Arial"/>
                <w:sz w:val="20"/>
                <w:szCs w:val="20"/>
              </w:rPr>
              <w:t>: $162.05/ton</w:t>
            </w:r>
          </w:p>
          <w:p w:rsidR="001E7CA0" w:rsidRPr="00DD3825" w:rsidRDefault="00FB689D" w:rsidP="00FB689D">
            <w:pPr>
              <w:rPr>
                <w:rFonts w:cs="Arial"/>
                <w:sz w:val="20"/>
                <w:szCs w:val="20"/>
              </w:rPr>
            </w:pPr>
            <w:r w:rsidRPr="00DD3825">
              <w:rPr>
                <w:rFonts w:cs="Arial"/>
                <w:sz w:val="20"/>
                <w:szCs w:val="20"/>
              </w:rPr>
              <w:t xml:space="preserve">Add CO2 sensor to </w:t>
            </w:r>
            <w:r w:rsidR="00751CDE">
              <w:rPr>
                <w:sz w:val="20"/>
              </w:rPr>
              <w:t>existing system</w:t>
            </w:r>
            <w:r w:rsidRPr="00DD3825">
              <w:rPr>
                <w:rFonts w:cs="Arial"/>
                <w:sz w:val="20"/>
                <w:szCs w:val="20"/>
              </w:rPr>
              <w:t xml:space="preserve"> with ADEC: $64.69/ton</w:t>
            </w:r>
          </w:p>
        </w:tc>
      </w:tr>
      <w:tr w:rsidR="00DD3825" w:rsidRPr="00DD3825" w:rsidTr="00783DAC">
        <w:trPr>
          <w:trHeight w:val="465"/>
        </w:trPr>
        <w:tc>
          <w:tcPr>
            <w:tcW w:w="4161" w:type="dxa"/>
            <w:shd w:val="pct20" w:color="000000" w:fill="FFFFFF"/>
          </w:tcPr>
          <w:p w:rsidR="000571F6" w:rsidRPr="00DD3825" w:rsidRDefault="000571F6" w:rsidP="0028709C">
            <w:pPr>
              <w:rPr>
                <w:rStyle w:val="Strong"/>
              </w:rPr>
            </w:pPr>
            <w:r w:rsidRPr="00DD3825">
              <w:rPr>
                <w:rStyle w:val="Strong"/>
              </w:rPr>
              <w:t xml:space="preserve">Measure Incremental Cost ($/unit): </w:t>
            </w:r>
          </w:p>
        </w:tc>
        <w:tc>
          <w:tcPr>
            <w:tcW w:w="5487" w:type="dxa"/>
            <w:shd w:val="pct20" w:color="000000" w:fill="FFFFFF"/>
          </w:tcPr>
          <w:p w:rsidR="00751CDE" w:rsidRDefault="007B44FB" w:rsidP="00FB689D">
            <w:pPr>
              <w:rPr>
                <w:rFonts w:cs="Arial"/>
                <w:sz w:val="20"/>
                <w:szCs w:val="20"/>
              </w:rPr>
            </w:pPr>
            <w:r w:rsidRPr="00DD3825">
              <w:rPr>
                <w:rFonts w:cs="Arial"/>
                <w:sz w:val="20"/>
                <w:szCs w:val="20"/>
              </w:rPr>
              <w:t xml:space="preserve">Source: </w:t>
            </w:r>
            <w:r w:rsidR="00FB689D" w:rsidRPr="00DD3825">
              <w:rPr>
                <w:rFonts w:cs="Arial"/>
                <w:sz w:val="20"/>
                <w:szCs w:val="20"/>
              </w:rPr>
              <w:t>Estimate, see §4.2 for estimate detail.</w:t>
            </w:r>
            <w:r w:rsidR="00751CDE">
              <w:rPr>
                <w:rFonts w:cs="Arial"/>
                <w:sz w:val="20"/>
                <w:szCs w:val="20"/>
              </w:rPr>
              <w:t xml:space="preserve"> </w:t>
            </w:r>
          </w:p>
          <w:p w:rsidR="00FB689D" w:rsidRPr="00DD3825" w:rsidRDefault="00FB689D" w:rsidP="00FB689D">
            <w:pPr>
              <w:rPr>
                <w:rFonts w:cs="Arial"/>
                <w:sz w:val="20"/>
                <w:szCs w:val="20"/>
              </w:rPr>
            </w:pPr>
            <w:r w:rsidRPr="00DD3825">
              <w:rPr>
                <w:rFonts w:cs="Arial"/>
                <w:sz w:val="20"/>
                <w:szCs w:val="20"/>
              </w:rPr>
              <w:t xml:space="preserve">Add ADEC and CO2 sensor to </w:t>
            </w:r>
            <w:r w:rsidR="00751CDE">
              <w:rPr>
                <w:sz w:val="20"/>
              </w:rPr>
              <w:t>existing system</w:t>
            </w:r>
            <w:r w:rsidRPr="00DD3825">
              <w:rPr>
                <w:rFonts w:cs="Arial"/>
                <w:sz w:val="20"/>
                <w:szCs w:val="20"/>
              </w:rPr>
              <w:t>: $162.05/ton</w:t>
            </w:r>
          </w:p>
          <w:p w:rsidR="00D16E24" w:rsidRPr="00DD3825" w:rsidRDefault="00FB689D" w:rsidP="00FB689D">
            <w:pPr>
              <w:rPr>
                <w:rFonts w:cs="Arial"/>
                <w:sz w:val="20"/>
                <w:szCs w:val="20"/>
              </w:rPr>
            </w:pPr>
            <w:r w:rsidRPr="00DD3825">
              <w:rPr>
                <w:rFonts w:cs="Arial"/>
                <w:sz w:val="20"/>
                <w:szCs w:val="20"/>
              </w:rPr>
              <w:t xml:space="preserve">Add CO2 sensor to </w:t>
            </w:r>
            <w:r w:rsidR="00751CDE">
              <w:rPr>
                <w:sz w:val="20"/>
              </w:rPr>
              <w:t>existing system</w:t>
            </w:r>
            <w:r w:rsidRPr="00DD3825">
              <w:rPr>
                <w:rFonts w:cs="Arial"/>
                <w:sz w:val="20"/>
                <w:szCs w:val="20"/>
              </w:rPr>
              <w:t xml:space="preserve"> with ADEC: $64.69/ton</w:t>
            </w:r>
          </w:p>
        </w:tc>
      </w:tr>
      <w:tr w:rsidR="00DD3825" w:rsidRPr="00DD3825" w:rsidTr="00783DAC">
        <w:trPr>
          <w:trHeight w:val="465"/>
        </w:trPr>
        <w:tc>
          <w:tcPr>
            <w:tcW w:w="4161" w:type="dxa"/>
            <w:shd w:val="pct5" w:color="000000" w:fill="FFFFFF"/>
          </w:tcPr>
          <w:p w:rsidR="000571F6" w:rsidRPr="00DD3825" w:rsidRDefault="000571F6" w:rsidP="0028709C">
            <w:pPr>
              <w:rPr>
                <w:rStyle w:val="Strong"/>
              </w:rPr>
            </w:pPr>
            <w:r w:rsidRPr="00DD3825">
              <w:rPr>
                <w:rStyle w:val="Strong"/>
              </w:rPr>
              <w:t xml:space="preserve">Effective Useful Life (years): </w:t>
            </w:r>
          </w:p>
        </w:tc>
        <w:tc>
          <w:tcPr>
            <w:tcW w:w="5487" w:type="dxa"/>
            <w:shd w:val="pct5" w:color="000000" w:fill="FFFFFF"/>
          </w:tcPr>
          <w:p w:rsidR="000571F6" w:rsidRPr="00DD3825" w:rsidRDefault="00E03431" w:rsidP="00DD3825">
            <w:pPr>
              <w:rPr>
                <w:rFonts w:cs="Arial"/>
                <w:sz w:val="20"/>
                <w:szCs w:val="20"/>
              </w:rPr>
            </w:pPr>
            <w:r w:rsidRPr="00DD3825">
              <w:rPr>
                <w:rFonts w:cs="Arial"/>
                <w:sz w:val="20"/>
                <w:szCs w:val="20"/>
              </w:rPr>
              <w:t xml:space="preserve">Source: </w:t>
            </w:r>
            <w:r w:rsidR="007831EC" w:rsidRPr="00DD3825">
              <w:rPr>
                <w:rFonts w:cs="Arial"/>
                <w:sz w:val="20"/>
                <w:szCs w:val="20"/>
              </w:rPr>
              <w:t>DEER</w:t>
            </w:r>
            <w:r w:rsidRPr="00DD3825">
              <w:rPr>
                <w:rFonts w:cs="Arial"/>
                <w:sz w:val="20"/>
                <w:szCs w:val="20"/>
              </w:rPr>
              <w:t xml:space="preserve"> </w:t>
            </w:r>
            <w:r w:rsidR="007831EC" w:rsidRPr="00DD3825">
              <w:rPr>
                <w:rFonts w:cs="Arial"/>
                <w:sz w:val="20"/>
                <w:szCs w:val="20"/>
              </w:rPr>
              <w:t>5 Years</w:t>
            </w:r>
          </w:p>
        </w:tc>
      </w:tr>
      <w:tr w:rsidR="00DD3825" w:rsidRPr="00DD3825" w:rsidTr="00783DAC">
        <w:trPr>
          <w:trHeight w:val="465"/>
        </w:trPr>
        <w:tc>
          <w:tcPr>
            <w:tcW w:w="4161" w:type="dxa"/>
            <w:shd w:val="pct20" w:color="000000" w:fill="FFFFFF"/>
          </w:tcPr>
          <w:p w:rsidR="00530B04" w:rsidRPr="00DD3825" w:rsidRDefault="003541A6" w:rsidP="0028709C">
            <w:pPr>
              <w:rPr>
                <w:rStyle w:val="Strong"/>
              </w:rPr>
            </w:pPr>
            <w:r w:rsidRPr="00DD3825">
              <w:rPr>
                <w:rStyle w:val="Strong"/>
              </w:rPr>
              <w:t>Measure Application Type</w:t>
            </w:r>
            <w:r w:rsidR="00695ED2" w:rsidRPr="00DD3825">
              <w:rPr>
                <w:rStyle w:val="Strong"/>
              </w:rPr>
              <w:t>:</w:t>
            </w:r>
          </w:p>
        </w:tc>
        <w:tc>
          <w:tcPr>
            <w:tcW w:w="5487" w:type="dxa"/>
            <w:shd w:val="pct20" w:color="000000" w:fill="FFFFFF"/>
          </w:tcPr>
          <w:p w:rsidR="00530B04" w:rsidRPr="00DD3825" w:rsidRDefault="00751CDE" w:rsidP="00751CDE">
            <w:pPr>
              <w:rPr>
                <w:rFonts w:cs="Arial"/>
                <w:sz w:val="20"/>
                <w:szCs w:val="20"/>
              </w:rPr>
            </w:pPr>
            <w:r>
              <w:rPr>
                <w:rFonts w:cs="Arial"/>
                <w:sz w:val="20"/>
                <w:szCs w:val="20"/>
              </w:rPr>
              <w:t>Retrofit Add-On</w:t>
            </w:r>
            <w:r w:rsidR="00FC781D" w:rsidRPr="00DD3825">
              <w:rPr>
                <w:rFonts w:cs="Arial"/>
                <w:sz w:val="20"/>
                <w:szCs w:val="20"/>
              </w:rPr>
              <w:t xml:space="preserve"> (</w:t>
            </w:r>
            <w:r>
              <w:rPr>
                <w:rFonts w:cs="Arial"/>
                <w:sz w:val="20"/>
                <w:szCs w:val="20"/>
              </w:rPr>
              <w:t>REA</w:t>
            </w:r>
            <w:r w:rsidR="00E879C6" w:rsidRPr="00DD3825">
              <w:rPr>
                <w:rFonts w:cs="Arial"/>
                <w:sz w:val="20"/>
                <w:szCs w:val="20"/>
              </w:rPr>
              <w:t>)</w:t>
            </w:r>
            <w:r w:rsidR="00065A01" w:rsidRPr="00DD3825">
              <w:rPr>
                <w:rFonts w:cs="Arial"/>
                <w:sz w:val="20"/>
                <w:szCs w:val="20"/>
              </w:rPr>
              <w:t xml:space="preserve"> </w:t>
            </w:r>
          </w:p>
        </w:tc>
      </w:tr>
      <w:tr w:rsidR="00DD3825" w:rsidRPr="00DD3825" w:rsidTr="00783DAC">
        <w:trPr>
          <w:trHeight w:val="465"/>
        </w:trPr>
        <w:tc>
          <w:tcPr>
            <w:tcW w:w="4161" w:type="dxa"/>
            <w:shd w:val="pct5" w:color="000000" w:fill="FFFFFF"/>
          </w:tcPr>
          <w:p w:rsidR="000571F6" w:rsidRPr="00DD3825" w:rsidRDefault="000571F6" w:rsidP="0028709C">
            <w:pPr>
              <w:rPr>
                <w:rStyle w:val="Strong"/>
              </w:rPr>
            </w:pPr>
            <w:r w:rsidRPr="00DD3825">
              <w:rPr>
                <w:rStyle w:val="Strong"/>
              </w:rPr>
              <w:t xml:space="preserve">Net-to-Gross Ratios: </w:t>
            </w:r>
          </w:p>
        </w:tc>
        <w:tc>
          <w:tcPr>
            <w:tcW w:w="5487" w:type="dxa"/>
            <w:shd w:val="pct5" w:color="000000" w:fill="FFFFFF"/>
          </w:tcPr>
          <w:p w:rsidR="000571F6" w:rsidRPr="00DD3825" w:rsidRDefault="00194E14" w:rsidP="00441916">
            <w:pPr>
              <w:rPr>
                <w:rFonts w:cs="Arial"/>
                <w:sz w:val="20"/>
                <w:szCs w:val="20"/>
              </w:rPr>
            </w:pPr>
            <w:r w:rsidRPr="00DD3825">
              <w:rPr>
                <w:rFonts w:cs="Arial"/>
                <w:sz w:val="20"/>
                <w:szCs w:val="20"/>
              </w:rPr>
              <w:t xml:space="preserve">Source: </w:t>
            </w:r>
            <w:r w:rsidR="007831EC" w:rsidRPr="00DD3825">
              <w:rPr>
                <w:rFonts w:cs="Arial"/>
                <w:sz w:val="20"/>
                <w:szCs w:val="20"/>
              </w:rPr>
              <w:t>DEER</w:t>
            </w:r>
          </w:p>
        </w:tc>
      </w:tr>
      <w:tr w:rsidR="00DD3825" w:rsidRPr="00DD3825" w:rsidTr="00783DAC">
        <w:trPr>
          <w:trHeight w:val="465"/>
        </w:trPr>
        <w:tc>
          <w:tcPr>
            <w:tcW w:w="4161" w:type="dxa"/>
            <w:shd w:val="pct20" w:color="000000" w:fill="FFFFFF"/>
          </w:tcPr>
          <w:p w:rsidR="00127CC8" w:rsidRPr="00DD3825" w:rsidRDefault="00127CC8" w:rsidP="0028709C">
            <w:pPr>
              <w:rPr>
                <w:rStyle w:val="Strong"/>
              </w:rPr>
            </w:pPr>
            <w:r w:rsidRPr="00DD3825">
              <w:rPr>
                <w:rStyle w:val="Strong"/>
              </w:rPr>
              <w:t>Important Comments:</w:t>
            </w:r>
          </w:p>
        </w:tc>
        <w:tc>
          <w:tcPr>
            <w:tcW w:w="5487" w:type="dxa"/>
            <w:shd w:val="pct20" w:color="000000" w:fill="FFFFFF"/>
          </w:tcPr>
          <w:p w:rsidR="00CD6046" w:rsidRPr="00DD3825" w:rsidRDefault="00CD6046" w:rsidP="0028709C">
            <w:pPr>
              <w:rPr>
                <w:rFonts w:cs="Arial"/>
                <w:sz w:val="20"/>
                <w:szCs w:val="20"/>
              </w:rPr>
            </w:pPr>
          </w:p>
        </w:tc>
      </w:tr>
    </w:tbl>
    <w:p w:rsidR="007F2147" w:rsidRPr="00DD3825" w:rsidRDefault="007F2147" w:rsidP="0006490F">
      <w:pPr>
        <w:rPr>
          <w:rFonts w:cs="Arial"/>
          <w:b/>
          <w:sz w:val="20"/>
          <w:szCs w:val="20"/>
        </w:rPr>
        <w:sectPr w:rsidR="007F2147" w:rsidRPr="00DD3825" w:rsidSect="00751CDE">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rsidR="00AB723D" w:rsidRPr="00DD3825" w:rsidRDefault="00AB723D" w:rsidP="00AB723D">
      <w:pPr>
        <w:pStyle w:val="Heading1"/>
      </w:pPr>
      <w:bookmarkStart w:id="6" w:name="_Toc342311739"/>
      <w:bookmarkStart w:id="7" w:name="_Toc386811703"/>
      <w:r w:rsidRPr="00DD3825">
        <w:lastRenderedPageBreak/>
        <w:t>Work Paper Approvals</w:t>
      </w:r>
      <w:bookmarkEnd w:id="6"/>
      <w:bookmarkEnd w:id="7"/>
    </w:p>
    <w:p w:rsidR="00AB723D" w:rsidRPr="00DD3825" w:rsidRDefault="00AB723D" w:rsidP="00AB723D">
      <w:pPr>
        <w:rPr>
          <w:rFonts w:eastAsiaTheme="minorHAnsi"/>
        </w:rPr>
      </w:pPr>
      <w:r w:rsidRPr="00DD3825">
        <w:t xml:space="preserve">The following Manager(s) approved this workpaper through the PG&amp;E Electronic Data Routing System under Routing Requisition # </w:t>
      </w:r>
      <w:r w:rsidR="00547783" w:rsidRPr="00547783">
        <w:t xml:space="preserve">2014-38006 </w:t>
      </w:r>
    </w:p>
    <w:tbl>
      <w:tblPr>
        <w:tblW w:w="3064" w:type="pct"/>
        <w:tblCellMar>
          <w:left w:w="0" w:type="dxa"/>
          <w:right w:w="0" w:type="dxa"/>
        </w:tblCellMar>
        <w:tblLook w:val="04A0" w:firstRow="1" w:lastRow="0" w:firstColumn="1" w:lastColumn="0" w:noHBand="0" w:noVBand="1"/>
      </w:tblPr>
      <w:tblGrid>
        <w:gridCol w:w="5868"/>
      </w:tblGrid>
      <w:tr w:rsidR="00AB723D" w:rsidRPr="00DD3825" w:rsidTr="00AB723D">
        <w:tc>
          <w:tcPr>
            <w:tcW w:w="5000" w:type="pct"/>
            <w:tcMar>
              <w:top w:w="0" w:type="dxa"/>
              <w:left w:w="108" w:type="dxa"/>
              <w:bottom w:w="0" w:type="dxa"/>
              <w:right w:w="108" w:type="dxa"/>
            </w:tcMar>
          </w:tcPr>
          <w:p w:rsidR="00AB723D" w:rsidRPr="00DD3825" w:rsidRDefault="00AB723D">
            <w:pPr>
              <w:rPr>
                <w:rFonts w:eastAsiaTheme="minorHAnsi" w:cs="Arial"/>
                <w:szCs w:val="22"/>
              </w:rPr>
            </w:pPr>
          </w:p>
        </w:tc>
      </w:tr>
      <w:tr w:rsidR="00AB723D" w:rsidRPr="00DD3825" w:rsidTr="00AB723D">
        <w:tc>
          <w:tcPr>
            <w:tcW w:w="5000" w:type="pct"/>
            <w:tcMar>
              <w:top w:w="0" w:type="dxa"/>
              <w:left w:w="108" w:type="dxa"/>
              <w:bottom w:w="0" w:type="dxa"/>
              <w:right w:w="108" w:type="dxa"/>
            </w:tcMar>
            <w:hideMark/>
          </w:tcPr>
          <w:p w:rsidR="00AB723D" w:rsidRPr="00DD3825" w:rsidRDefault="00AB723D">
            <w:pPr>
              <w:rPr>
                <w:rFonts w:eastAsiaTheme="minorHAnsi" w:cs="Arial"/>
                <w:b/>
                <w:bCs/>
                <w:szCs w:val="22"/>
              </w:rPr>
            </w:pPr>
            <w:r w:rsidRPr="00DD3825">
              <w:rPr>
                <w:b/>
                <w:bCs/>
              </w:rPr>
              <w:t>Grant Brohard</w:t>
            </w:r>
          </w:p>
          <w:p w:rsidR="00AB723D" w:rsidRPr="00DD3825" w:rsidRDefault="00AB723D">
            <w:pPr>
              <w:rPr>
                <w:rFonts w:eastAsiaTheme="minorHAnsi" w:cs="Arial"/>
                <w:szCs w:val="22"/>
              </w:rPr>
            </w:pPr>
            <w:r w:rsidRPr="00DD3825">
              <w:t>Manager, Technical Product Support</w:t>
            </w:r>
          </w:p>
        </w:tc>
      </w:tr>
      <w:tr w:rsidR="00AB723D" w:rsidRPr="00DD3825" w:rsidTr="00AB723D">
        <w:tc>
          <w:tcPr>
            <w:tcW w:w="5000" w:type="pct"/>
            <w:tcMar>
              <w:top w:w="0" w:type="dxa"/>
              <w:left w:w="108" w:type="dxa"/>
              <w:bottom w:w="0" w:type="dxa"/>
              <w:right w:w="108" w:type="dxa"/>
            </w:tcMar>
          </w:tcPr>
          <w:p w:rsidR="00AB723D" w:rsidRPr="00DD3825" w:rsidRDefault="00AB723D">
            <w:pPr>
              <w:rPr>
                <w:rFonts w:eastAsiaTheme="minorHAnsi" w:cs="Arial"/>
                <w:szCs w:val="22"/>
              </w:rPr>
            </w:pPr>
          </w:p>
        </w:tc>
      </w:tr>
      <w:tr w:rsidR="00710BAA" w:rsidRPr="00DD3825" w:rsidTr="00710BAA">
        <w:tc>
          <w:tcPr>
            <w:tcW w:w="5000" w:type="pct"/>
            <w:tcMar>
              <w:top w:w="0" w:type="dxa"/>
              <w:left w:w="108" w:type="dxa"/>
              <w:bottom w:w="0" w:type="dxa"/>
              <w:right w:w="108" w:type="dxa"/>
            </w:tcMar>
          </w:tcPr>
          <w:p w:rsidR="00710BAA" w:rsidRPr="00DD3825" w:rsidRDefault="00710BAA" w:rsidP="00710BAA">
            <w:pPr>
              <w:rPr>
                <w:rFonts w:eastAsiaTheme="minorHAnsi" w:cs="Arial"/>
                <w:b/>
                <w:bCs/>
                <w:szCs w:val="22"/>
              </w:rPr>
            </w:pPr>
            <w:r>
              <w:rPr>
                <w:rFonts w:eastAsiaTheme="minorHAnsi" w:cs="Arial"/>
                <w:b/>
                <w:bCs/>
                <w:szCs w:val="22"/>
              </w:rPr>
              <w:t>Carolyn Weiner</w:t>
            </w:r>
          </w:p>
          <w:p w:rsidR="00710BAA" w:rsidRPr="00710BAA" w:rsidRDefault="00710BAA" w:rsidP="00710BAA">
            <w:pPr>
              <w:rPr>
                <w:rFonts w:eastAsiaTheme="minorHAnsi" w:cs="Arial"/>
                <w:b/>
                <w:bCs/>
                <w:szCs w:val="22"/>
              </w:rPr>
            </w:pPr>
            <w:r w:rsidRPr="00710BAA">
              <w:t>Manager, Products and Programs</w:t>
            </w:r>
          </w:p>
        </w:tc>
      </w:tr>
      <w:tr w:rsidR="00710BAA" w:rsidRPr="00DD3825" w:rsidTr="00710BAA">
        <w:tc>
          <w:tcPr>
            <w:tcW w:w="5000" w:type="pct"/>
            <w:tcMar>
              <w:top w:w="0" w:type="dxa"/>
              <w:left w:w="108" w:type="dxa"/>
              <w:bottom w:w="0" w:type="dxa"/>
              <w:right w:w="108" w:type="dxa"/>
            </w:tcMar>
          </w:tcPr>
          <w:p w:rsidR="00710BAA" w:rsidRPr="00710BAA" w:rsidRDefault="00710BAA" w:rsidP="00710BAA">
            <w:pPr>
              <w:rPr>
                <w:rFonts w:eastAsiaTheme="minorHAnsi" w:cs="Arial"/>
                <w:b/>
                <w:bCs/>
                <w:szCs w:val="22"/>
              </w:rPr>
            </w:pPr>
          </w:p>
        </w:tc>
      </w:tr>
    </w:tbl>
    <w:p w:rsidR="00EE7092" w:rsidRPr="00DD3825" w:rsidRDefault="00EE7092" w:rsidP="00EE7092"/>
    <w:p w:rsidR="00E71EF1" w:rsidRPr="00DD3825" w:rsidRDefault="009B5F5D" w:rsidP="00E71EF1">
      <w:pPr>
        <w:pStyle w:val="Heading1"/>
      </w:pPr>
      <w:r w:rsidRPr="00DD3825">
        <w:br w:type="page"/>
      </w:r>
      <w:bookmarkStart w:id="8" w:name="_Toc304800196"/>
      <w:bookmarkStart w:id="9" w:name="_Toc324318333"/>
      <w:bookmarkStart w:id="10" w:name="_Toc324340477"/>
      <w:bookmarkStart w:id="11" w:name="_Toc386811704"/>
      <w:r w:rsidR="00E71EF1" w:rsidRPr="00DD3825">
        <w:lastRenderedPageBreak/>
        <w:t>Document Revision History</w:t>
      </w:r>
      <w:bookmarkEnd w:id="8"/>
      <w:bookmarkEnd w:id="9"/>
      <w:bookmarkEnd w:id="10"/>
      <w:bookmarkEnd w:id="11"/>
    </w:p>
    <w:p w:rsidR="00E91C15" w:rsidRPr="00DD3825" w:rsidRDefault="007F1E48" w:rsidP="001A573F">
      <w:r w:rsidRPr="00DD3825">
        <w:t xml:space="preserve">     </w:t>
      </w:r>
      <w:r w:rsidR="00E91C15" w:rsidRPr="00DD3825">
        <w:tab/>
      </w:r>
      <w:r w:rsidR="00E91C15" w:rsidRPr="00DD3825">
        <w:tab/>
      </w:r>
      <w:r w:rsidR="00E91C15" w:rsidRPr="00DD3825">
        <w:tab/>
      </w:r>
      <w:r w:rsidR="00E91C15" w:rsidRPr="00DD382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DD3825" w:rsidTr="00E044FE">
        <w:trPr>
          <w:trHeight w:val="464"/>
        </w:trPr>
        <w:tc>
          <w:tcPr>
            <w:tcW w:w="858" w:type="pct"/>
            <w:tcBorders>
              <w:top w:val="nil"/>
              <w:bottom w:val="single" w:sz="18" w:space="0" w:color="FFFFFF"/>
            </w:tcBorders>
            <w:shd w:val="pct20" w:color="000000" w:fill="FFFFFF"/>
          </w:tcPr>
          <w:p w:rsidR="000374A5" w:rsidRPr="00DD3825" w:rsidRDefault="000374A5" w:rsidP="000374A5">
            <w:pPr>
              <w:jc w:val="center"/>
              <w:rPr>
                <w:b/>
                <w:bCs/>
              </w:rPr>
            </w:pPr>
            <w:r w:rsidRPr="00DD3825">
              <w:rPr>
                <w:b/>
              </w:rPr>
              <w:t>Revision #</w:t>
            </w:r>
            <w:r w:rsidRPr="00DD3825">
              <w:rPr>
                <w:b/>
              </w:rPr>
              <w:tab/>
            </w:r>
          </w:p>
        </w:tc>
        <w:tc>
          <w:tcPr>
            <w:tcW w:w="783" w:type="pct"/>
            <w:tcBorders>
              <w:top w:val="nil"/>
              <w:bottom w:val="single" w:sz="18" w:space="0" w:color="FFFFFF"/>
            </w:tcBorders>
            <w:shd w:val="pct20" w:color="000000" w:fill="FFFFFF"/>
          </w:tcPr>
          <w:p w:rsidR="000374A5" w:rsidRPr="00DD3825" w:rsidRDefault="005B00A6" w:rsidP="000374A5">
            <w:pPr>
              <w:jc w:val="center"/>
              <w:rPr>
                <w:b/>
                <w:bCs/>
                <w:sz w:val="20"/>
                <w:szCs w:val="20"/>
              </w:rPr>
            </w:pPr>
            <w:r w:rsidRPr="00DD3825">
              <w:rPr>
                <w:b/>
              </w:rPr>
              <w:t>Revision Date</w:t>
            </w:r>
            <w:r w:rsidR="000374A5" w:rsidRPr="00DD3825">
              <w:rPr>
                <w:b/>
              </w:rPr>
              <w:tab/>
            </w:r>
          </w:p>
        </w:tc>
        <w:tc>
          <w:tcPr>
            <w:tcW w:w="1680" w:type="pct"/>
            <w:tcBorders>
              <w:top w:val="nil"/>
              <w:bottom w:val="single" w:sz="18" w:space="0" w:color="FFFFFF"/>
            </w:tcBorders>
            <w:shd w:val="pct20" w:color="000000" w:fill="FFFFFF"/>
          </w:tcPr>
          <w:p w:rsidR="000374A5" w:rsidRPr="00DD3825" w:rsidRDefault="000374A5" w:rsidP="00113464">
            <w:pPr>
              <w:jc w:val="center"/>
              <w:rPr>
                <w:b/>
                <w:bCs/>
                <w:sz w:val="20"/>
                <w:szCs w:val="20"/>
              </w:rPr>
            </w:pPr>
            <w:r w:rsidRPr="00DD3825">
              <w:rPr>
                <w:b/>
              </w:rPr>
              <w:t>Section</w:t>
            </w:r>
            <w:r w:rsidR="00113464" w:rsidRPr="00DD3825">
              <w:rPr>
                <w:b/>
              </w:rPr>
              <w:t>-</w:t>
            </w:r>
            <w:r w:rsidRPr="00DD3825">
              <w:rPr>
                <w:b/>
              </w:rPr>
              <w:t>by</w:t>
            </w:r>
            <w:r w:rsidR="00113464" w:rsidRPr="00DD3825">
              <w:rPr>
                <w:b/>
              </w:rPr>
              <w:t>-</w:t>
            </w:r>
            <w:r w:rsidRPr="00DD3825">
              <w:rPr>
                <w:b/>
              </w:rPr>
              <w:t>Section Description of Revisions</w:t>
            </w:r>
          </w:p>
        </w:tc>
        <w:tc>
          <w:tcPr>
            <w:tcW w:w="1680" w:type="pct"/>
            <w:tcBorders>
              <w:top w:val="nil"/>
              <w:bottom w:val="single" w:sz="18" w:space="0" w:color="FFFFFF"/>
            </w:tcBorders>
            <w:shd w:val="pct20" w:color="000000" w:fill="FFFFFF"/>
          </w:tcPr>
          <w:p w:rsidR="000374A5" w:rsidRPr="00DD3825" w:rsidRDefault="000374A5" w:rsidP="000374A5">
            <w:pPr>
              <w:jc w:val="center"/>
              <w:rPr>
                <w:b/>
                <w:bCs/>
                <w:sz w:val="20"/>
                <w:szCs w:val="20"/>
              </w:rPr>
            </w:pPr>
            <w:r w:rsidRPr="00DD3825">
              <w:rPr>
                <w:b/>
              </w:rPr>
              <w:t>Author (Company)</w:t>
            </w:r>
          </w:p>
        </w:tc>
      </w:tr>
      <w:tr w:rsidR="00E91C15" w:rsidRPr="00DD3825" w:rsidTr="00E044FE">
        <w:trPr>
          <w:trHeight w:val="464"/>
        </w:trPr>
        <w:tc>
          <w:tcPr>
            <w:tcW w:w="858" w:type="pct"/>
            <w:tcBorders>
              <w:top w:val="single" w:sz="18" w:space="0" w:color="FFFFFF"/>
            </w:tcBorders>
            <w:shd w:val="pct20" w:color="000000" w:fill="FFFFFF"/>
          </w:tcPr>
          <w:p w:rsidR="00E91C15" w:rsidRPr="00DD3825" w:rsidRDefault="00E91C15" w:rsidP="008948E0">
            <w:pPr>
              <w:rPr>
                <w:b/>
                <w:bCs/>
              </w:rPr>
            </w:pPr>
            <w:r w:rsidRPr="00DD3825">
              <w:rPr>
                <w:b/>
                <w:bCs/>
              </w:rPr>
              <w:t>Revision 0</w:t>
            </w:r>
          </w:p>
        </w:tc>
        <w:tc>
          <w:tcPr>
            <w:tcW w:w="783" w:type="pct"/>
            <w:tcBorders>
              <w:top w:val="single" w:sz="18" w:space="0" w:color="FFFFFF"/>
            </w:tcBorders>
            <w:shd w:val="pct20" w:color="000000" w:fill="FFFFFF"/>
          </w:tcPr>
          <w:p w:rsidR="00E91C15" w:rsidRPr="00DD3825" w:rsidRDefault="00A93CA2" w:rsidP="008948E0">
            <w:pPr>
              <w:rPr>
                <w:b/>
                <w:bCs/>
                <w:sz w:val="20"/>
                <w:szCs w:val="20"/>
              </w:rPr>
            </w:pPr>
            <w:r w:rsidRPr="00DD3825">
              <w:rPr>
                <w:b/>
                <w:bCs/>
                <w:sz w:val="20"/>
                <w:szCs w:val="20"/>
              </w:rPr>
              <w:t>04/09/2014</w:t>
            </w:r>
          </w:p>
        </w:tc>
        <w:tc>
          <w:tcPr>
            <w:tcW w:w="1680" w:type="pct"/>
            <w:tcBorders>
              <w:top w:val="single" w:sz="18" w:space="0" w:color="FFFFFF"/>
            </w:tcBorders>
            <w:shd w:val="pct20" w:color="000000" w:fill="FFFFFF"/>
          </w:tcPr>
          <w:p w:rsidR="00E91C15" w:rsidRPr="00DD3825" w:rsidRDefault="00BF680E" w:rsidP="008948E0">
            <w:pPr>
              <w:rPr>
                <w:b/>
                <w:bCs/>
                <w:sz w:val="20"/>
                <w:szCs w:val="20"/>
              </w:rPr>
            </w:pPr>
            <w:r w:rsidRPr="00DD3825">
              <w:rPr>
                <w:b/>
                <w:bCs/>
                <w:sz w:val="20"/>
                <w:szCs w:val="20"/>
              </w:rPr>
              <w:t>Demand Controlled Ventilation</w:t>
            </w:r>
          </w:p>
        </w:tc>
        <w:tc>
          <w:tcPr>
            <w:tcW w:w="1680" w:type="pct"/>
            <w:tcBorders>
              <w:top w:val="single" w:sz="18" w:space="0" w:color="FFFFFF"/>
            </w:tcBorders>
            <w:shd w:val="pct20" w:color="000000" w:fill="FFFFFF"/>
          </w:tcPr>
          <w:p w:rsidR="00E91C15" w:rsidRPr="00DD3825" w:rsidRDefault="00BF680E" w:rsidP="008948E0">
            <w:pPr>
              <w:rPr>
                <w:b/>
                <w:bCs/>
                <w:sz w:val="20"/>
                <w:szCs w:val="20"/>
              </w:rPr>
            </w:pPr>
            <w:r w:rsidRPr="00DD3825">
              <w:rPr>
                <w:b/>
                <w:bCs/>
                <w:sz w:val="20"/>
                <w:szCs w:val="20"/>
              </w:rPr>
              <w:t>Sherry Hu (PG&amp;E); Benjamin Lipscomb (PECI)</w:t>
            </w:r>
          </w:p>
        </w:tc>
      </w:tr>
    </w:tbl>
    <w:p w:rsidR="00E71EF1" w:rsidRPr="00DD3825" w:rsidRDefault="00E71EF1" w:rsidP="00F55847">
      <w:pPr>
        <w:pStyle w:val="Heading1"/>
      </w:pPr>
      <w:bookmarkStart w:id="12" w:name="_Toc186621650"/>
      <w:bookmarkStart w:id="13" w:name="_Toc304800197"/>
      <w:bookmarkStart w:id="14" w:name="_Toc324318334"/>
      <w:r w:rsidRPr="00DD3825">
        <w:br w:type="page"/>
      </w:r>
      <w:bookmarkStart w:id="15" w:name="_Toc304800198"/>
      <w:bookmarkStart w:id="16" w:name="_Toc324340478"/>
      <w:bookmarkStart w:id="17" w:name="_Toc386811705"/>
      <w:r w:rsidR="001248A3" w:rsidRPr="00DD3825">
        <w:lastRenderedPageBreak/>
        <w:t>Table</w:t>
      </w:r>
      <w:r w:rsidR="006559C8" w:rsidRPr="00DD3825">
        <w:t xml:space="preserve"> of Contents</w:t>
      </w:r>
      <w:bookmarkEnd w:id="12"/>
      <w:bookmarkEnd w:id="13"/>
      <w:bookmarkEnd w:id="14"/>
      <w:bookmarkEnd w:id="15"/>
      <w:bookmarkEnd w:id="16"/>
      <w:bookmarkEnd w:id="17"/>
    </w:p>
    <w:p w:rsidR="00B424F3" w:rsidRDefault="001E4C31">
      <w:pPr>
        <w:pStyle w:val="TOC1"/>
        <w:tabs>
          <w:tab w:val="right" w:leader="dot" w:pos="9350"/>
        </w:tabs>
        <w:rPr>
          <w:rFonts w:asciiTheme="minorHAnsi" w:eastAsiaTheme="minorEastAsia" w:hAnsiTheme="minorHAnsi" w:cstheme="minorBidi"/>
          <w:noProof/>
          <w:szCs w:val="22"/>
        </w:rPr>
      </w:pPr>
      <w:r w:rsidRPr="00DD3825">
        <w:fldChar w:fldCharType="begin"/>
      </w:r>
      <w:r w:rsidRPr="00DD3825">
        <w:instrText xml:space="preserve"> TOC \o "1-3" \h \z \u </w:instrText>
      </w:r>
      <w:r w:rsidRPr="00DD3825">
        <w:fldChar w:fldCharType="separate"/>
      </w:r>
      <w:hyperlink w:anchor="_Toc386811702" w:history="1">
        <w:r w:rsidR="00B424F3" w:rsidRPr="003A6265">
          <w:rPr>
            <w:rStyle w:val="Hyperlink"/>
            <w:noProof/>
          </w:rPr>
          <w:t>At-a-Glance Summary</w:t>
        </w:r>
        <w:r w:rsidR="00B424F3">
          <w:rPr>
            <w:noProof/>
            <w:webHidden/>
          </w:rPr>
          <w:tab/>
        </w:r>
        <w:r w:rsidR="00B424F3">
          <w:rPr>
            <w:noProof/>
            <w:webHidden/>
          </w:rPr>
          <w:fldChar w:fldCharType="begin"/>
        </w:r>
        <w:r w:rsidR="00B424F3">
          <w:rPr>
            <w:noProof/>
            <w:webHidden/>
          </w:rPr>
          <w:instrText xml:space="preserve"> PAGEREF _Toc386811702 \h </w:instrText>
        </w:r>
        <w:r w:rsidR="00B424F3">
          <w:rPr>
            <w:noProof/>
            <w:webHidden/>
          </w:rPr>
        </w:r>
        <w:r w:rsidR="00B424F3">
          <w:rPr>
            <w:noProof/>
            <w:webHidden/>
          </w:rPr>
          <w:fldChar w:fldCharType="separate"/>
        </w:r>
        <w:r w:rsidR="00B424F3">
          <w:rPr>
            <w:noProof/>
            <w:webHidden/>
          </w:rPr>
          <w:t>ii</w:t>
        </w:r>
        <w:r w:rsidR="00B424F3">
          <w:rPr>
            <w:noProof/>
            <w:webHidden/>
          </w:rPr>
          <w:fldChar w:fldCharType="end"/>
        </w:r>
      </w:hyperlink>
    </w:p>
    <w:p w:rsidR="00B424F3" w:rsidRDefault="00FF41C5">
      <w:pPr>
        <w:pStyle w:val="TOC1"/>
        <w:tabs>
          <w:tab w:val="right" w:leader="dot" w:pos="9350"/>
        </w:tabs>
        <w:rPr>
          <w:rFonts w:asciiTheme="minorHAnsi" w:eastAsiaTheme="minorEastAsia" w:hAnsiTheme="minorHAnsi" w:cstheme="minorBidi"/>
          <w:noProof/>
          <w:szCs w:val="22"/>
        </w:rPr>
      </w:pPr>
      <w:hyperlink w:anchor="_Toc386811703" w:history="1">
        <w:r w:rsidR="00B424F3" w:rsidRPr="003A6265">
          <w:rPr>
            <w:rStyle w:val="Hyperlink"/>
            <w:noProof/>
          </w:rPr>
          <w:t>Work Paper Approvals</w:t>
        </w:r>
        <w:r w:rsidR="00B424F3">
          <w:rPr>
            <w:noProof/>
            <w:webHidden/>
          </w:rPr>
          <w:tab/>
        </w:r>
        <w:r w:rsidR="00B424F3">
          <w:rPr>
            <w:noProof/>
            <w:webHidden/>
          </w:rPr>
          <w:fldChar w:fldCharType="begin"/>
        </w:r>
        <w:r w:rsidR="00B424F3">
          <w:rPr>
            <w:noProof/>
            <w:webHidden/>
          </w:rPr>
          <w:instrText xml:space="preserve"> PAGEREF _Toc386811703 \h </w:instrText>
        </w:r>
        <w:r w:rsidR="00B424F3">
          <w:rPr>
            <w:noProof/>
            <w:webHidden/>
          </w:rPr>
        </w:r>
        <w:r w:rsidR="00B424F3">
          <w:rPr>
            <w:noProof/>
            <w:webHidden/>
          </w:rPr>
          <w:fldChar w:fldCharType="separate"/>
        </w:r>
        <w:r w:rsidR="00B424F3">
          <w:rPr>
            <w:noProof/>
            <w:webHidden/>
          </w:rPr>
          <w:t>iv</w:t>
        </w:r>
        <w:r w:rsidR="00B424F3">
          <w:rPr>
            <w:noProof/>
            <w:webHidden/>
          </w:rPr>
          <w:fldChar w:fldCharType="end"/>
        </w:r>
      </w:hyperlink>
    </w:p>
    <w:p w:rsidR="00B424F3" w:rsidRDefault="00FF41C5">
      <w:pPr>
        <w:pStyle w:val="TOC1"/>
        <w:tabs>
          <w:tab w:val="right" w:leader="dot" w:pos="9350"/>
        </w:tabs>
        <w:rPr>
          <w:rFonts w:asciiTheme="minorHAnsi" w:eastAsiaTheme="minorEastAsia" w:hAnsiTheme="minorHAnsi" w:cstheme="minorBidi"/>
          <w:noProof/>
          <w:szCs w:val="22"/>
        </w:rPr>
      </w:pPr>
      <w:hyperlink w:anchor="_Toc386811704" w:history="1">
        <w:r w:rsidR="00B424F3" w:rsidRPr="003A6265">
          <w:rPr>
            <w:rStyle w:val="Hyperlink"/>
            <w:noProof/>
          </w:rPr>
          <w:t>Document Revision History</w:t>
        </w:r>
        <w:r w:rsidR="00B424F3">
          <w:rPr>
            <w:noProof/>
            <w:webHidden/>
          </w:rPr>
          <w:tab/>
        </w:r>
        <w:r w:rsidR="00B424F3">
          <w:rPr>
            <w:noProof/>
            <w:webHidden/>
          </w:rPr>
          <w:fldChar w:fldCharType="begin"/>
        </w:r>
        <w:r w:rsidR="00B424F3">
          <w:rPr>
            <w:noProof/>
            <w:webHidden/>
          </w:rPr>
          <w:instrText xml:space="preserve"> PAGEREF _Toc386811704 \h </w:instrText>
        </w:r>
        <w:r w:rsidR="00B424F3">
          <w:rPr>
            <w:noProof/>
            <w:webHidden/>
          </w:rPr>
        </w:r>
        <w:r w:rsidR="00B424F3">
          <w:rPr>
            <w:noProof/>
            <w:webHidden/>
          </w:rPr>
          <w:fldChar w:fldCharType="separate"/>
        </w:r>
        <w:r w:rsidR="00B424F3">
          <w:rPr>
            <w:noProof/>
            <w:webHidden/>
          </w:rPr>
          <w:t>v</w:t>
        </w:r>
        <w:r w:rsidR="00B424F3">
          <w:rPr>
            <w:noProof/>
            <w:webHidden/>
          </w:rPr>
          <w:fldChar w:fldCharType="end"/>
        </w:r>
      </w:hyperlink>
    </w:p>
    <w:p w:rsidR="00B424F3" w:rsidRDefault="00FF41C5">
      <w:pPr>
        <w:pStyle w:val="TOC1"/>
        <w:tabs>
          <w:tab w:val="right" w:leader="dot" w:pos="9350"/>
        </w:tabs>
        <w:rPr>
          <w:rFonts w:asciiTheme="minorHAnsi" w:eastAsiaTheme="minorEastAsia" w:hAnsiTheme="minorHAnsi" w:cstheme="minorBidi"/>
          <w:noProof/>
          <w:szCs w:val="22"/>
        </w:rPr>
      </w:pPr>
      <w:hyperlink w:anchor="_Toc386811705" w:history="1">
        <w:r w:rsidR="00B424F3" w:rsidRPr="003A6265">
          <w:rPr>
            <w:rStyle w:val="Hyperlink"/>
            <w:noProof/>
          </w:rPr>
          <w:t>Table of Contents</w:t>
        </w:r>
        <w:r w:rsidR="00B424F3">
          <w:rPr>
            <w:noProof/>
            <w:webHidden/>
          </w:rPr>
          <w:tab/>
        </w:r>
        <w:r w:rsidR="00B424F3">
          <w:rPr>
            <w:noProof/>
            <w:webHidden/>
          </w:rPr>
          <w:fldChar w:fldCharType="begin"/>
        </w:r>
        <w:r w:rsidR="00B424F3">
          <w:rPr>
            <w:noProof/>
            <w:webHidden/>
          </w:rPr>
          <w:instrText xml:space="preserve"> PAGEREF _Toc386811705 \h </w:instrText>
        </w:r>
        <w:r w:rsidR="00B424F3">
          <w:rPr>
            <w:noProof/>
            <w:webHidden/>
          </w:rPr>
        </w:r>
        <w:r w:rsidR="00B424F3">
          <w:rPr>
            <w:noProof/>
            <w:webHidden/>
          </w:rPr>
          <w:fldChar w:fldCharType="separate"/>
        </w:r>
        <w:r w:rsidR="00B424F3">
          <w:rPr>
            <w:noProof/>
            <w:webHidden/>
          </w:rPr>
          <w:t>vi</w:t>
        </w:r>
        <w:r w:rsidR="00B424F3">
          <w:rPr>
            <w:noProof/>
            <w:webHidden/>
          </w:rPr>
          <w:fldChar w:fldCharType="end"/>
        </w:r>
      </w:hyperlink>
    </w:p>
    <w:p w:rsidR="00B424F3" w:rsidRDefault="00FF41C5">
      <w:pPr>
        <w:pStyle w:val="TOC1"/>
        <w:tabs>
          <w:tab w:val="right" w:leader="dot" w:pos="9350"/>
        </w:tabs>
        <w:rPr>
          <w:rFonts w:asciiTheme="minorHAnsi" w:eastAsiaTheme="minorEastAsia" w:hAnsiTheme="minorHAnsi" w:cstheme="minorBidi"/>
          <w:noProof/>
          <w:szCs w:val="22"/>
        </w:rPr>
      </w:pPr>
      <w:hyperlink w:anchor="_Toc386811706" w:history="1">
        <w:r w:rsidR="00B424F3" w:rsidRPr="003A6265">
          <w:rPr>
            <w:rStyle w:val="Hyperlink"/>
            <w:noProof/>
          </w:rPr>
          <w:t>List of Tables</w:t>
        </w:r>
        <w:r w:rsidR="00B424F3">
          <w:rPr>
            <w:noProof/>
            <w:webHidden/>
          </w:rPr>
          <w:tab/>
        </w:r>
        <w:r w:rsidR="00B424F3">
          <w:rPr>
            <w:noProof/>
            <w:webHidden/>
          </w:rPr>
          <w:fldChar w:fldCharType="begin"/>
        </w:r>
        <w:r w:rsidR="00B424F3">
          <w:rPr>
            <w:noProof/>
            <w:webHidden/>
          </w:rPr>
          <w:instrText xml:space="preserve"> PAGEREF _Toc386811706 \h </w:instrText>
        </w:r>
        <w:r w:rsidR="00B424F3">
          <w:rPr>
            <w:noProof/>
            <w:webHidden/>
          </w:rPr>
        </w:r>
        <w:r w:rsidR="00B424F3">
          <w:rPr>
            <w:noProof/>
            <w:webHidden/>
          </w:rPr>
          <w:fldChar w:fldCharType="separate"/>
        </w:r>
        <w:r w:rsidR="00B424F3">
          <w:rPr>
            <w:noProof/>
            <w:webHidden/>
          </w:rPr>
          <w:t>vii</w:t>
        </w:r>
        <w:r w:rsidR="00B424F3">
          <w:rPr>
            <w:noProof/>
            <w:webHidden/>
          </w:rPr>
          <w:fldChar w:fldCharType="end"/>
        </w:r>
      </w:hyperlink>
    </w:p>
    <w:p w:rsidR="00B424F3" w:rsidRDefault="00FF41C5">
      <w:pPr>
        <w:pStyle w:val="TOC1"/>
        <w:tabs>
          <w:tab w:val="right" w:leader="dot" w:pos="9350"/>
        </w:tabs>
        <w:rPr>
          <w:rFonts w:asciiTheme="minorHAnsi" w:eastAsiaTheme="minorEastAsia" w:hAnsiTheme="minorHAnsi" w:cstheme="minorBidi"/>
          <w:noProof/>
          <w:szCs w:val="22"/>
        </w:rPr>
      </w:pPr>
      <w:hyperlink w:anchor="_Toc386811707" w:history="1">
        <w:r w:rsidR="00B424F3" w:rsidRPr="003A6265">
          <w:rPr>
            <w:rStyle w:val="Hyperlink"/>
            <w:noProof/>
          </w:rPr>
          <w:t>List of Figures</w:t>
        </w:r>
        <w:r w:rsidR="00B424F3">
          <w:rPr>
            <w:noProof/>
            <w:webHidden/>
          </w:rPr>
          <w:tab/>
        </w:r>
        <w:r w:rsidR="00B424F3">
          <w:rPr>
            <w:noProof/>
            <w:webHidden/>
          </w:rPr>
          <w:fldChar w:fldCharType="begin"/>
        </w:r>
        <w:r w:rsidR="00B424F3">
          <w:rPr>
            <w:noProof/>
            <w:webHidden/>
          </w:rPr>
          <w:instrText xml:space="preserve"> PAGEREF _Toc386811707 \h </w:instrText>
        </w:r>
        <w:r w:rsidR="00B424F3">
          <w:rPr>
            <w:noProof/>
            <w:webHidden/>
          </w:rPr>
        </w:r>
        <w:r w:rsidR="00B424F3">
          <w:rPr>
            <w:noProof/>
            <w:webHidden/>
          </w:rPr>
          <w:fldChar w:fldCharType="separate"/>
        </w:r>
        <w:r w:rsidR="00B424F3">
          <w:rPr>
            <w:noProof/>
            <w:webHidden/>
          </w:rPr>
          <w:t>vii</w:t>
        </w:r>
        <w:r w:rsidR="00B424F3">
          <w:rPr>
            <w:noProof/>
            <w:webHidden/>
          </w:rPr>
          <w:fldChar w:fldCharType="end"/>
        </w:r>
      </w:hyperlink>
    </w:p>
    <w:p w:rsidR="00B424F3" w:rsidRDefault="00FF41C5">
      <w:pPr>
        <w:pStyle w:val="TOC1"/>
        <w:tabs>
          <w:tab w:val="right" w:leader="dot" w:pos="9350"/>
        </w:tabs>
        <w:rPr>
          <w:rFonts w:asciiTheme="minorHAnsi" w:eastAsiaTheme="minorEastAsia" w:hAnsiTheme="minorHAnsi" w:cstheme="minorBidi"/>
          <w:noProof/>
          <w:szCs w:val="22"/>
        </w:rPr>
      </w:pPr>
      <w:hyperlink w:anchor="_Toc386811708" w:history="1">
        <w:r w:rsidR="00B424F3" w:rsidRPr="003A6265">
          <w:rPr>
            <w:rStyle w:val="Hyperlink"/>
            <w:noProof/>
          </w:rPr>
          <w:t>Section 1. General Measure &amp; Baseline Data</w:t>
        </w:r>
        <w:r w:rsidR="00B424F3">
          <w:rPr>
            <w:noProof/>
            <w:webHidden/>
          </w:rPr>
          <w:tab/>
        </w:r>
        <w:r w:rsidR="00B424F3">
          <w:rPr>
            <w:noProof/>
            <w:webHidden/>
          </w:rPr>
          <w:fldChar w:fldCharType="begin"/>
        </w:r>
        <w:r w:rsidR="00B424F3">
          <w:rPr>
            <w:noProof/>
            <w:webHidden/>
          </w:rPr>
          <w:instrText xml:space="preserve"> PAGEREF _Toc386811708 \h </w:instrText>
        </w:r>
        <w:r w:rsidR="00B424F3">
          <w:rPr>
            <w:noProof/>
            <w:webHidden/>
          </w:rPr>
        </w:r>
        <w:r w:rsidR="00B424F3">
          <w:rPr>
            <w:noProof/>
            <w:webHidden/>
          </w:rPr>
          <w:fldChar w:fldCharType="separate"/>
        </w:r>
        <w:r w:rsidR="00B424F3">
          <w:rPr>
            <w:noProof/>
            <w:webHidden/>
          </w:rPr>
          <w:t>1</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09" w:history="1">
        <w:r w:rsidR="00B424F3" w:rsidRPr="003A6265">
          <w:rPr>
            <w:rStyle w:val="Hyperlink"/>
            <w:noProof/>
          </w:rPr>
          <w:t>1.1 Product Measure Description &amp; Background</w:t>
        </w:r>
        <w:r w:rsidR="00B424F3">
          <w:rPr>
            <w:noProof/>
            <w:webHidden/>
          </w:rPr>
          <w:tab/>
        </w:r>
        <w:r w:rsidR="00B424F3">
          <w:rPr>
            <w:noProof/>
            <w:webHidden/>
          </w:rPr>
          <w:fldChar w:fldCharType="begin"/>
        </w:r>
        <w:r w:rsidR="00B424F3">
          <w:rPr>
            <w:noProof/>
            <w:webHidden/>
          </w:rPr>
          <w:instrText xml:space="preserve"> PAGEREF _Toc386811709 \h </w:instrText>
        </w:r>
        <w:r w:rsidR="00B424F3">
          <w:rPr>
            <w:noProof/>
            <w:webHidden/>
          </w:rPr>
        </w:r>
        <w:r w:rsidR="00B424F3">
          <w:rPr>
            <w:noProof/>
            <w:webHidden/>
          </w:rPr>
          <w:fldChar w:fldCharType="separate"/>
        </w:r>
        <w:r w:rsidR="00B424F3">
          <w:rPr>
            <w:noProof/>
            <w:webHidden/>
          </w:rPr>
          <w:t>1</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10" w:history="1">
        <w:r w:rsidR="00B424F3" w:rsidRPr="003A6265">
          <w:rPr>
            <w:rStyle w:val="Hyperlink"/>
            <w:noProof/>
          </w:rPr>
          <w:t>1.2 Product Technical Description</w:t>
        </w:r>
        <w:r w:rsidR="00B424F3">
          <w:rPr>
            <w:noProof/>
            <w:webHidden/>
          </w:rPr>
          <w:tab/>
        </w:r>
        <w:r w:rsidR="00B424F3">
          <w:rPr>
            <w:noProof/>
            <w:webHidden/>
          </w:rPr>
          <w:fldChar w:fldCharType="begin"/>
        </w:r>
        <w:r w:rsidR="00B424F3">
          <w:rPr>
            <w:noProof/>
            <w:webHidden/>
          </w:rPr>
          <w:instrText xml:space="preserve"> PAGEREF _Toc386811710 \h </w:instrText>
        </w:r>
        <w:r w:rsidR="00B424F3">
          <w:rPr>
            <w:noProof/>
            <w:webHidden/>
          </w:rPr>
        </w:r>
        <w:r w:rsidR="00B424F3">
          <w:rPr>
            <w:noProof/>
            <w:webHidden/>
          </w:rPr>
          <w:fldChar w:fldCharType="separate"/>
        </w:r>
        <w:r w:rsidR="00B424F3">
          <w:rPr>
            <w:noProof/>
            <w:webHidden/>
          </w:rPr>
          <w:t>4</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11" w:history="1">
        <w:r w:rsidR="00B424F3" w:rsidRPr="003A6265">
          <w:rPr>
            <w:rStyle w:val="Hyperlink"/>
            <w:noProof/>
          </w:rPr>
          <w:t>1.3 Measure Application Type</w:t>
        </w:r>
        <w:r w:rsidR="00B424F3">
          <w:rPr>
            <w:noProof/>
            <w:webHidden/>
          </w:rPr>
          <w:tab/>
        </w:r>
        <w:r w:rsidR="00B424F3">
          <w:rPr>
            <w:noProof/>
            <w:webHidden/>
          </w:rPr>
          <w:fldChar w:fldCharType="begin"/>
        </w:r>
        <w:r w:rsidR="00B424F3">
          <w:rPr>
            <w:noProof/>
            <w:webHidden/>
          </w:rPr>
          <w:instrText xml:space="preserve"> PAGEREF _Toc386811711 \h </w:instrText>
        </w:r>
        <w:r w:rsidR="00B424F3">
          <w:rPr>
            <w:noProof/>
            <w:webHidden/>
          </w:rPr>
        </w:r>
        <w:r w:rsidR="00B424F3">
          <w:rPr>
            <w:noProof/>
            <w:webHidden/>
          </w:rPr>
          <w:fldChar w:fldCharType="separate"/>
        </w:r>
        <w:r w:rsidR="00B424F3">
          <w:rPr>
            <w:noProof/>
            <w:webHidden/>
          </w:rPr>
          <w:t>5</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12" w:history="1">
        <w:r w:rsidR="00B424F3" w:rsidRPr="003A6265">
          <w:rPr>
            <w:rStyle w:val="Hyperlink"/>
            <w:noProof/>
          </w:rPr>
          <w:t>1.4 Product Base Case and Measure Case Data</w:t>
        </w:r>
        <w:r w:rsidR="00B424F3">
          <w:rPr>
            <w:noProof/>
            <w:webHidden/>
          </w:rPr>
          <w:tab/>
        </w:r>
        <w:r w:rsidR="00B424F3">
          <w:rPr>
            <w:noProof/>
            <w:webHidden/>
          </w:rPr>
          <w:fldChar w:fldCharType="begin"/>
        </w:r>
        <w:r w:rsidR="00B424F3">
          <w:rPr>
            <w:noProof/>
            <w:webHidden/>
          </w:rPr>
          <w:instrText xml:space="preserve"> PAGEREF _Toc386811712 \h </w:instrText>
        </w:r>
        <w:r w:rsidR="00B424F3">
          <w:rPr>
            <w:noProof/>
            <w:webHidden/>
          </w:rPr>
        </w:r>
        <w:r w:rsidR="00B424F3">
          <w:rPr>
            <w:noProof/>
            <w:webHidden/>
          </w:rPr>
          <w:fldChar w:fldCharType="separate"/>
        </w:r>
        <w:r w:rsidR="00B424F3">
          <w:rPr>
            <w:noProof/>
            <w:webHidden/>
          </w:rPr>
          <w:t>5</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13" w:history="1">
        <w:r w:rsidR="00B424F3" w:rsidRPr="003A6265">
          <w:rPr>
            <w:rStyle w:val="Hyperlink"/>
            <w:noProof/>
          </w:rPr>
          <w:t>1.4.1 DEER Base Case and Measure Case Information</w:t>
        </w:r>
        <w:r w:rsidR="00B424F3">
          <w:rPr>
            <w:noProof/>
            <w:webHidden/>
          </w:rPr>
          <w:tab/>
        </w:r>
        <w:r w:rsidR="00B424F3">
          <w:rPr>
            <w:noProof/>
            <w:webHidden/>
          </w:rPr>
          <w:fldChar w:fldCharType="begin"/>
        </w:r>
        <w:r w:rsidR="00B424F3">
          <w:rPr>
            <w:noProof/>
            <w:webHidden/>
          </w:rPr>
          <w:instrText xml:space="preserve"> PAGEREF _Toc386811713 \h </w:instrText>
        </w:r>
        <w:r w:rsidR="00B424F3">
          <w:rPr>
            <w:noProof/>
            <w:webHidden/>
          </w:rPr>
        </w:r>
        <w:r w:rsidR="00B424F3">
          <w:rPr>
            <w:noProof/>
            <w:webHidden/>
          </w:rPr>
          <w:fldChar w:fldCharType="separate"/>
        </w:r>
        <w:r w:rsidR="00B424F3">
          <w:rPr>
            <w:noProof/>
            <w:webHidden/>
          </w:rPr>
          <w:t>5</w:t>
        </w:r>
        <w:r w:rsidR="00B424F3">
          <w:rPr>
            <w:noProof/>
            <w:webHidden/>
          </w:rPr>
          <w:fldChar w:fldCharType="end"/>
        </w:r>
      </w:hyperlink>
    </w:p>
    <w:p w:rsidR="00B424F3" w:rsidRDefault="00FF41C5">
      <w:pPr>
        <w:pStyle w:val="TOC3"/>
        <w:tabs>
          <w:tab w:val="right" w:leader="dot" w:pos="9350"/>
        </w:tabs>
        <w:rPr>
          <w:rFonts w:asciiTheme="minorHAnsi" w:eastAsiaTheme="minorEastAsia" w:hAnsiTheme="minorHAnsi" w:cstheme="minorBidi"/>
          <w:noProof/>
          <w:szCs w:val="22"/>
        </w:rPr>
      </w:pPr>
      <w:hyperlink w:anchor="_Toc386811714" w:history="1">
        <w:r w:rsidR="00B424F3" w:rsidRPr="003A6265">
          <w:rPr>
            <w:rStyle w:val="Hyperlink"/>
            <w:noProof/>
          </w:rPr>
          <w:t>Base Case Simulations</w:t>
        </w:r>
        <w:r w:rsidR="00B424F3">
          <w:rPr>
            <w:noProof/>
            <w:webHidden/>
          </w:rPr>
          <w:tab/>
        </w:r>
        <w:r w:rsidR="00B424F3">
          <w:rPr>
            <w:noProof/>
            <w:webHidden/>
          </w:rPr>
          <w:fldChar w:fldCharType="begin"/>
        </w:r>
        <w:r w:rsidR="00B424F3">
          <w:rPr>
            <w:noProof/>
            <w:webHidden/>
          </w:rPr>
          <w:instrText xml:space="preserve"> PAGEREF _Toc386811714 \h </w:instrText>
        </w:r>
        <w:r w:rsidR="00B424F3">
          <w:rPr>
            <w:noProof/>
            <w:webHidden/>
          </w:rPr>
        </w:r>
        <w:r w:rsidR="00B424F3">
          <w:rPr>
            <w:noProof/>
            <w:webHidden/>
          </w:rPr>
          <w:fldChar w:fldCharType="separate"/>
        </w:r>
        <w:r w:rsidR="00B424F3">
          <w:rPr>
            <w:noProof/>
            <w:webHidden/>
          </w:rPr>
          <w:t>5</w:t>
        </w:r>
        <w:r w:rsidR="00B424F3">
          <w:rPr>
            <w:noProof/>
            <w:webHidden/>
          </w:rPr>
          <w:fldChar w:fldCharType="end"/>
        </w:r>
      </w:hyperlink>
    </w:p>
    <w:p w:rsidR="00B424F3" w:rsidRDefault="00FF41C5">
      <w:pPr>
        <w:pStyle w:val="TOC3"/>
        <w:tabs>
          <w:tab w:val="right" w:leader="dot" w:pos="9350"/>
        </w:tabs>
        <w:rPr>
          <w:rFonts w:asciiTheme="minorHAnsi" w:eastAsiaTheme="minorEastAsia" w:hAnsiTheme="minorHAnsi" w:cstheme="minorBidi"/>
          <w:noProof/>
          <w:szCs w:val="22"/>
        </w:rPr>
      </w:pPr>
      <w:hyperlink w:anchor="_Toc386811715" w:history="1">
        <w:r w:rsidR="00B424F3" w:rsidRPr="003A6265">
          <w:rPr>
            <w:rStyle w:val="Hyperlink"/>
            <w:noProof/>
          </w:rPr>
          <w:t>Measure Simulations</w:t>
        </w:r>
        <w:r w:rsidR="00B424F3">
          <w:rPr>
            <w:noProof/>
            <w:webHidden/>
          </w:rPr>
          <w:tab/>
        </w:r>
        <w:r w:rsidR="00B424F3">
          <w:rPr>
            <w:noProof/>
            <w:webHidden/>
          </w:rPr>
          <w:fldChar w:fldCharType="begin"/>
        </w:r>
        <w:r w:rsidR="00B424F3">
          <w:rPr>
            <w:noProof/>
            <w:webHidden/>
          </w:rPr>
          <w:instrText xml:space="preserve"> PAGEREF _Toc386811715 \h </w:instrText>
        </w:r>
        <w:r w:rsidR="00B424F3">
          <w:rPr>
            <w:noProof/>
            <w:webHidden/>
          </w:rPr>
        </w:r>
        <w:r w:rsidR="00B424F3">
          <w:rPr>
            <w:noProof/>
            <w:webHidden/>
          </w:rPr>
          <w:fldChar w:fldCharType="separate"/>
        </w:r>
        <w:r w:rsidR="00B424F3">
          <w:rPr>
            <w:noProof/>
            <w:webHidden/>
          </w:rPr>
          <w:t>7</w:t>
        </w:r>
        <w:r w:rsidR="00B424F3">
          <w:rPr>
            <w:noProof/>
            <w:webHidden/>
          </w:rPr>
          <w:fldChar w:fldCharType="end"/>
        </w:r>
      </w:hyperlink>
    </w:p>
    <w:p w:rsidR="00B424F3" w:rsidRDefault="00FF41C5">
      <w:pPr>
        <w:pStyle w:val="TOC3"/>
        <w:tabs>
          <w:tab w:val="right" w:leader="dot" w:pos="9350"/>
        </w:tabs>
        <w:rPr>
          <w:rFonts w:asciiTheme="minorHAnsi" w:eastAsiaTheme="minorEastAsia" w:hAnsiTheme="minorHAnsi" w:cstheme="minorBidi"/>
          <w:noProof/>
          <w:szCs w:val="22"/>
        </w:rPr>
      </w:pPr>
      <w:hyperlink w:anchor="_Toc386811716" w:history="1">
        <w:r w:rsidR="00B424F3" w:rsidRPr="003A6265">
          <w:rPr>
            <w:rStyle w:val="Hyperlink"/>
            <w:noProof/>
          </w:rPr>
          <w:t xml:space="preserve">Net-to-Gross Assumption: </w:t>
        </w:r>
        <w:r w:rsidR="00B424F3" w:rsidRPr="003A6265">
          <w:rPr>
            <w:rStyle w:val="Hyperlink"/>
            <w:i/>
            <w:noProof/>
          </w:rPr>
          <w:t>List and Cite source(s) from DEER data base or Spreadsheet</w:t>
        </w:r>
        <w:r w:rsidR="00B424F3">
          <w:rPr>
            <w:noProof/>
            <w:webHidden/>
          </w:rPr>
          <w:tab/>
        </w:r>
        <w:r w:rsidR="00B424F3">
          <w:rPr>
            <w:noProof/>
            <w:webHidden/>
          </w:rPr>
          <w:fldChar w:fldCharType="begin"/>
        </w:r>
        <w:r w:rsidR="00B424F3">
          <w:rPr>
            <w:noProof/>
            <w:webHidden/>
          </w:rPr>
          <w:instrText xml:space="preserve"> PAGEREF _Toc386811716 \h </w:instrText>
        </w:r>
        <w:r w:rsidR="00B424F3">
          <w:rPr>
            <w:noProof/>
            <w:webHidden/>
          </w:rPr>
        </w:r>
        <w:r w:rsidR="00B424F3">
          <w:rPr>
            <w:noProof/>
            <w:webHidden/>
          </w:rPr>
          <w:fldChar w:fldCharType="separate"/>
        </w:r>
        <w:r w:rsidR="00B424F3">
          <w:rPr>
            <w:noProof/>
            <w:webHidden/>
          </w:rPr>
          <w:t>8</w:t>
        </w:r>
        <w:r w:rsidR="00B424F3">
          <w:rPr>
            <w:noProof/>
            <w:webHidden/>
          </w:rPr>
          <w:fldChar w:fldCharType="end"/>
        </w:r>
      </w:hyperlink>
    </w:p>
    <w:p w:rsidR="00B424F3" w:rsidRDefault="00FF41C5">
      <w:pPr>
        <w:pStyle w:val="TOC3"/>
        <w:tabs>
          <w:tab w:val="right" w:leader="dot" w:pos="9350"/>
        </w:tabs>
        <w:rPr>
          <w:rFonts w:asciiTheme="minorHAnsi" w:eastAsiaTheme="minorEastAsia" w:hAnsiTheme="minorHAnsi" w:cstheme="minorBidi"/>
          <w:noProof/>
          <w:szCs w:val="22"/>
        </w:rPr>
      </w:pPr>
      <w:hyperlink w:anchor="_Toc386811717" w:history="1">
        <w:r w:rsidR="00B424F3" w:rsidRPr="003A6265">
          <w:rPr>
            <w:rStyle w:val="Hyperlink"/>
            <w:noProof/>
          </w:rPr>
          <w:t>Effective Useful Life / Remaining Useful Life:</w:t>
        </w:r>
        <w:r w:rsidR="00B424F3">
          <w:rPr>
            <w:noProof/>
            <w:webHidden/>
          </w:rPr>
          <w:tab/>
        </w:r>
        <w:r w:rsidR="00B424F3">
          <w:rPr>
            <w:noProof/>
            <w:webHidden/>
          </w:rPr>
          <w:fldChar w:fldCharType="begin"/>
        </w:r>
        <w:r w:rsidR="00B424F3">
          <w:rPr>
            <w:noProof/>
            <w:webHidden/>
          </w:rPr>
          <w:instrText xml:space="preserve"> PAGEREF _Toc386811717 \h </w:instrText>
        </w:r>
        <w:r w:rsidR="00B424F3">
          <w:rPr>
            <w:noProof/>
            <w:webHidden/>
          </w:rPr>
        </w:r>
        <w:r w:rsidR="00B424F3">
          <w:rPr>
            <w:noProof/>
            <w:webHidden/>
          </w:rPr>
          <w:fldChar w:fldCharType="separate"/>
        </w:r>
        <w:r w:rsidR="00B424F3">
          <w:rPr>
            <w:noProof/>
            <w:webHidden/>
          </w:rPr>
          <w:t>8</w:t>
        </w:r>
        <w:r w:rsidR="00B424F3">
          <w:rPr>
            <w:noProof/>
            <w:webHidden/>
          </w:rPr>
          <w:fldChar w:fldCharType="end"/>
        </w:r>
      </w:hyperlink>
    </w:p>
    <w:p w:rsidR="00B424F3" w:rsidRDefault="00FF41C5">
      <w:pPr>
        <w:pStyle w:val="TOC3"/>
        <w:tabs>
          <w:tab w:val="right" w:leader="dot" w:pos="9350"/>
        </w:tabs>
        <w:rPr>
          <w:rFonts w:asciiTheme="minorHAnsi" w:eastAsiaTheme="minorEastAsia" w:hAnsiTheme="minorHAnsi" w:cstheme="minorBidi"/>
          <w:noProof/>
          <w:szCs w:val="22"/>
        </w:rPr>
      </w:pPr>
      <w:hyperlink w:anchor="_Toc386811718" w:history="1">
        <w:r w:rsidR="00B424F3" w:rsidRPr="003A6265">
          <w:rPr>
            <w:rStyle w:val="Hyperlink"/>
            <w:noProof/>
          </w:rPr>
          <w:t>In-service rate/first year installation rate:</w:t>
        </w:r>
        <w:r w:rsidR="00B424F3">
          <w:rPr>
            <w:noProof/>
            <w:webHidden/>
          </w:rPr>
          <w:tab/>
        </w:r>
        <w:r w:rsidR="00B424F3">
          <w:rPr>
            <w:noProof/>
            <w:webHidden/>
          </w:rPr>
          <w:fldChar w:fldCharType="begin"/>
        </w:r>
        <w:r w:rsidR="00B424F3">
          <w:rPr>
            <w:noProof/>
            <w:webHidden/>
          </w:rPr>
          <w:instrText xml:space="preserve"> PAGEREF _Toc386811718 \h </w:instrText>
        </w:r>
        <w:r w:rsidR="00B424F3">
          <w:rPr>
            <w:noProof/>
            <w:webHidden/>
          </w:rPr>
        </w:r>
        <w:r w:rsidR="00B424F3">
          <w:rPr>
            <w:noProof/>
            <w:webHidden/>
          </w:rPr>
          <w:fldChar w:fldCharType="separate"/>
        </w:r>
        <w:r w:rsidR="00B424F3">
          <w:rPr>
            <w:noProof/>
            <w:webHidden/>
          </w:rPr>
          <w:t>8</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19" w:history="1">
        <w:r w:rsidR="00B424F3" w:rsidRPr="003A6265">
          <w:rPr>
            <w:rStyle w:val="Hyperlink"/>
            <w:noProof/>
          </w:rPr>
          <w:t>1.4.2 Codes &amp; Standards Requirements Base Case and Measure Information</w:t>
        </w:r>
        <w:r w:rsidR="00B424F3">
          <w:rPr>
            <w:noProof/>
            <w:webHidden/>
          </w:rPr>
          <w:tab/>
        </w:r>
        <w:r w:rsidR="00B424F3">
          <w:rPr>
            <w:noProof/>
            <w:webHidden/>
          </w:rPr>
          <w:fldChar w:fldCharType="begin"/>
        </w:r>
        <w:r w:rsidR="00B424F3">
          <w:rPr>
            <w:noProof/>
            <w:webHidden/>
          </w:rPr>
          <w:instrText xml:space="preserve"> PAGEREF _Toc386811719 \h </w:instrText>
        </w:r>
        <w:r w:rsidR="00B424F3">
          <w:rPr>
            <w:noProof/>
            <w:webHidden/>
          </w:rPr>
        </w:r>
        <w:r w:rsidR="00B424F3">
          <w:rPr>
            <w:noProof/>
            <w:webHidden/>
          </w:rPr>
          <w:fldChar w:fldCharType="separate"/>
        </w:r>
        <w:r w:rsidR="00B424F3">
          <w:rPr>
            <w:noProof/>
            <w:webHidden/>
          </w:rPr>
          <w:t>8</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20" w:history="1">
        <w:r w:rsidR="00B424F3" w:rsidRPr="003A6265">
          <w:rPr>
            <w:rStyle w:val="Hyperlink"/>
            <w:noProof/>
          </w:rPr>
          <w:t>1.4.3 EM&amp;V, Market Potential, and Other Studies – Base Case and Measure Case Information</w:t>
        </w:r>
        <w:r w:rsidR="00B424F3">
          <w:rPr>
            <w:noProof/>
            <w:webHidden/>
          </w:rPr>
          <w:tab/>
        </w:r>
        <w:r w:rsidR="00B424F3">
          <w:rPr>
            <w:noProof/>
            <w:webHidden/>
          </w:rPr>
          <w:fldChar w:fldCharType="begin"/>
        </w:r>
        <w:r w:rsidR="00B424F3">
          <w:rPr>
            <w:noProof/>
            <w:webHidden/>
          </w:rPr>
          <w:instrText xml:space="preserve"> PAGEREF _Toc386811720 \h </w:instrText>
        </w:r>
        <w:r w:rsidR="00B424F3">
          <w:rPr>
            <w:noProof/>
            <w:webHidden/>
          </w:rPr>
        </w:r>
        <w:r w:rsidR="00B424F3">
          <w:rPr>
            <w:noProof/>
            <w:webHidden/>
          </w:rPr>
          <w:fldChar w:fldCharType="separate"/>
        </w:r>
        <w:r w:rsidR="00B424F3">
          <w:rPr>
            <w:noProof/>
            <w:webHidden/>
          </w:rPr>
          <w:t>9</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21" w:history="1">
        <w:r w:rsidR="00B424F3" w:rsidRPr="003A6265">
          <w:rPr>
            <w:rStyle w:val="Hyperlink"/>
            <w:noProof/>
          </w:rPr>
          <w:t>1.4.4 Assumptions and Calculations from other sources—Base and Measure Cases</w:t>
        </w:r>
        <w:r w:rsidR="00B424F3">
          <w:rPr>
            <w:noProof/>
            <w:webHidden/>
          </w:rPr>
          <w:tab/>
        </w:r>
        <w:r w:rsidR="00B424F3">
          <w:rPr>
            <w:noProof/>
            <w:webHidden/>
          </w:rPr>
          <w:fldChar w:fldCharType="begin"/>
        </w:r>
        <w:r w:rsidR="00B424F3">
          <w:rPr>
            <w:noProof/>
            <w:webHidden/>
          </w:rPr>
          <w:instrText xml:space="preserve"> PAGEREF _Toc386811721 \h </w:instrText>
        </w:r>
        <w:r w:rsidR="00B424F3">
          <w:rPr>
            <w:noProof/>
            <w:webHidden/>
          </w:rPr>
        </w:r>
        <w:r w:rsidR="00B424F3">
          <w:rPr>
            <w:noProof/>
            <w:webHidden/>
          </w:rPr>
          <w:fldChar w:fldCharType="separate"/>
        </w:r>
        <w:r w:rsidR="00B424F3">
          <w:rPr>
            <w:noProof/>
            <w:webHidden/>
          </w:rPr>
          <w:t>9</w:t>
        </w:r>
        <w:r w:rsidR="00B424F3">
          <w:rPr>
            <w:noProof/>
            <w:webHidden/>
          </w:rPr>
          <w:fldChar w:fldCharType="end"/>
        </w:r>
      </w:hyperlink>
    </w:p>
    <w:p w:rsidR="00B424F3" w:rsidRDefault="00FF41C5">
      <w:pPr>
        <w:pStyle w:val="TOC1"/>
        <w:tabs>
          <w:tab w:val="right" w:leader="dot" w:pos="9350"/>
        </w:tabs>
        <w:rPr>
          <w:rFonts w:asciiTheme="minorHAnsi" w:eastAsiaTheme="minorEastAsia" w:hAnsiTheme="minorHAnsi" w:cstheme="minorBidi"/>
          <w:noProof/>
          <w:szCs w:val="22"/>
        </w:rPr>
      </w:pPr>
      <w:hyperlink w:anchor="_Toc386811722" w:history="1">
        <w:r w:rsidR="00B424F3" w:rsidRPr="003A6265">
          <w:rPr>
            <w:rStyle w:val="Hyperlink"/>
            <w:noProof/>
          </w:rPr>
          <w:t>Section 2. Calculation Methods</w:t>
        </w:r>
        <w:r w:rsidR="00B424F3">
          <w:rPr>
            <w:noProof/>
            <w:webHidden/>
          </w:rPr>
          <w:tab/>
        </w:r>
        <w:r w:rsidR="00B424F3">
          <w:rPr>
            <w:noProof/>
            <w:webHidden/>
          </w:rPr>
          <w:fldChar w:fldCharType="begin"/>
        </w:r>
        <w:r w:rsidR="00B424F3">
          <w:rPr>
            <w:noProof/>
            <w:webHidden/>
          </w:rPr>
          <w:instrText xml:space="preserve"> PAGEREF _Toc386811722 \h </w:instrText>
        </w:r>
        <w:r w:rsidR="00B424F3">
          <w:rPr>
            <w:noProof/>
            <w:webHidden/>
          </w:rPr>
        </w:r>
        <w:r w:rsidR="00B424F3">
          <w:rPr>
            <w:noProof/>
            <w:webHidden/>
          </w:rPr>
          <w:fldChar w:fldCharType="separate"/>
        </w:r>
        <w:r w:rsidR="00B424F3">
          <w:rPr>
            <w:noProof/>
            <w:webHidden/>
          </w:rPr>
          <w:t>11</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23" w:history="1">
        <w:r w:rsidR="00B424F3" w:rsidRPr="003A6265">
          <w:rPr>
            <w:rStyle w:val="Hyperlink"/>
            <w:noProof/>
          </w:rPr>
          <w:t>Measure Application Type</w:t>
        </w:r>
        <w:r w:rsidR="00B424F3">
          <w:rPr>
            <w:noProof/>
            <w:webHidden/>
          </w:rPr>
          <w:tab/>
        </w:r>
        <w:r w:rsidR="00B424F3">
          <w:rPr>
            <w:noProof/>
            <w:webHidden/>
          </w:rPr>
          <w:fldChar w:fldCharType="begin"/>
        </w:r>
        <w:r w:rsidR="00B424F3">
          <w:rPr>
            <w:noProof/>
            <w:webHidden/>
          </w:rPr>
          <w:instrText xml:space="preserve"> PAGEREF _Toc386811723 \h </w:instrText>
        </w:r>
        <w:r w:rsidR="00B424F3">
          <w:rPr>
            <w:noProof/>
            <w:webHidden/>
          </w:rPr>
        </w:r>
        <w:r w:rsidR="00B424F3">
          <w:rPr>
            <w:noProof/>
            <w:webHidden/>
          </w:rPr>
          <w:fldChar w:fldCharType="separate"/>
        </w:r>
        <w:r w:rsidR="00B424F3">
          <w:rPr>
            <w:noProof/>
            <w:webHidden/>
          </w:rPr>
          <w:t>11</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24" w:history="1">
        <w:r w:rsidR="00B424F3" w:rsidRPr="003A6265">
          <w:rPr>
            <w:rStyle w:val="Hyperlink"/>
            <w:noProof/>
          </w:rPr>
          <w:t>Measure Life Basis</w:t>
        </w:r>
        <w:r w:rsidR="00B424F3">
          <w:rPr>
            <w:noProof/>
            <w:webHidden/>
          </w:rPr>
          <w:tab/>
        </w:r>
        <w:r w:rsidR="00B424F3">
          <w:rPr>
            <w:noProof/>
            <w:webHidden/>
          </w:rPr>
          <w:fldChar w:fldCharType="begin"/>
        </w:r>
        <w:r w:rsidR="00B424F3">
          <w:rPr>
            <w:noProof/>
            <w:webHidden/>
          </w:rPr>
          <w:instrText xml:space="preserve"> PAGEREF _Toc386811724 \h </w:instrText>
        </w:r>
        <w:r w:rsidR="00B424F3">
          <w:rPr>
            <w:noProof/>
            <w:webHidden/>
          </w:rPr>
        </w:r>
        <w:r w:rsidR="00B424F3">
          <w:rPr>
            <w:noProof/>
            <w:webHidden/>
          </w:rPr>
          <w:fldChar w:fldCharType="separate"/>
        </w:r>
        <w:r w:rsidR="00B424F3">
          <w:rPr>
            <w:noProof/>
            <w:webHidden/>
          </w:rPr>
          <w:t>11</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25" w:history="1">
        <w:r w:rsidR="00B424F3" w:rsidRPr="003A6265">
          <w:rPr>
            <w:rStyle w:val="Hyperlink"/>
            <w:noProof/>
          </w:rPr>
          <w:t>First Baseline Period: Energy Savings Baseline</w:t>
        </w:r>
        <w:r w:rsidR="00B424F3">
          <w:rPr>
            <w:noProof/>
            <w:webHidden/>
          </w:rPr>
          <w:tab/>
        </w:r>
        <w:r w:rsidR="00B424F3">
          <w:rPr>
            <w:noProof/>
            <w:webHidden/>
          </w:rPr>
          <w:fldChar w:fldCharType="begin"/>
        </w:r>
        <w:r w:rsidR="00B424F3">
          <w:rPr>
            <w:noProof/>
            <w:webHidden/>
          </w:rPr>
          <w:instrText xml:space="preserve"> PAGEREF _Toc386811725 \h </w:instrText>
        </w:r>
        <w:r w:rsidR="00B424F3">
          <w:rPr>
            <w:noProof/>
            <w:webHidden/>
          </w:rPr>
        </w:r>
        <w:r w:rsidR="00B424F3">
          <w:rPr>
            <w:noProof/>
            <w:webHidden/>
          </w:rPr>
          <w:fldChar w:fldCharType="separate"/>
        </w:r>
        <w:r w:rsidR="00B424F3">
          <w:rPr>
            <w:noProof/>
            <w:webHidden/>
          </w:rPr>
          <w:t>11</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26" w:history="1">
        <w:r w:rsidR="00B424F3" w:rsidRPr="003A6265">
          <w:rPr>
            <w:rStyle w:val="Hyperlink"/>
            <w:noProof/>
          </w:rPr>
          <w:t>Second Baseline Period: Energy Savings Baseline</w:t>
        </w:r>
        <w:r w:rsidR="00B424F3">
          <w:rPr>
            <w:noProof/>
            <w:webHidden/>
          </w:rPr>
          <w:tab/>
        </w:r>
        <w:r w:rsidR="00B424F3">
          <w:rPr>
            <w:noProof/>
            <w:webHidden/>
          </w:rPr>
          <w:fldChar w:fldCharType="begin"/>
        </w:r>
        <w:r w:rsidR="00B424F3">
          <w:rPr>
            <w:noProof/>
            <w:webHidden/>
          </w:rPr>
          <w:instrText xml:space="preserve"> PAGEREF _Toc386811726 \h </w:instrText>
        </w:r>
        <w:r w:rsidR="00B424F3">
          <w:rPr>
            <w:noProof/>
            <w:webHidden/>
          </w:rPr>
        </w:r>
        <w:r w:rsidR="00B424F3">
          <w:rPr>
            <w:noProof/>
            <w:webHidden/>
          </w:rPr>
          <w:fldChar w:fldCharType="separate"/>
        </w:r>
        <w:r w:rsidR="00B424F3">
          <w:rPr>
            <w:noProof/>
            <w:webHidden/>
          </w:rPr>
          <w:t>11</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27" w:history="1">
        <w:r w:rsidR="00B424F3" w:rsidRPr="003A6265">
          <w:rPr>
            <w:rStyle w:val="Hyperlink"/>
            <w:noProof/>
          </w:rPr>
          <w:t>2.1 Electric Energy Savings Estimation Methodologies</w:t>
        </w:r>
        <w:r w:rsidR="00B424F3">
          <w:rPr>
            <w:noProof/>
            <w:webHidden/>
          </w:rPr>
          <w:tab/>
        </w:r>
        <w:r w:rsidR="00B424F3">
          <w:rPr>
            <w:noProof/>
            <w:webHidden/>
          </w:rPr>
          <w:fldChar w:fldCharType="begin"/>
        </w:r>
        <w:r w:rsidR="00B424F3">
          <w:rPr>
            <w:noProof/>
            <w:webHidden/>
          </w:rPr>
          <w:instrText xml:space="preserve"> PAGEREF _Toc386811727 \h </w:instrText>
        </w:r>
        <w:r w:rsidR="00B424F3">
          <w:rPr>
            <w:noProof/>
            <w:webHidden/>
          </w:rPr>
        </w:r>
        <w:r w:rsidR="00B424F3">
          <w:rPr>
            <w:noProof/>
            <w:webHidden/>
          </w:rPr>
          <w:fldChar w:fldCharType="separate"/>
        </w:r>
        <w:r w:rsidR="00B424F3">
          <w:rPr>
            <w:noProof/>
            <w:webHidden/>
          </w:rPr>
          <w:t>11</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28" w:history="1">
        <w:r w:rsidR="00B424F3" w:rsidRPr="003A6265">
          <w:rPr>
            <w:rStyle w:val="Hyperlink"/>
            <w:noProof/>
          </w:rPr>
          <w:t>2.2. Demand Reduction Estimation Methodologies</w:t>
        </w:r>
        <w:r w:rsidR="00B424F3">
          <w:rPr>
            <w:noProof/>
            <w:webHidden/>
          </w:rPr>
          <w:tab/>
        </w:r>
        <w:r w:rsidR="00B424F3">
          <w:rPr>
            <w:noProof/>
            <w:webHidden/>
          </w:rPr>
          <w:fldChar w:fldCharType="begin"/>
        </w:r>
        <w:r w:rsidR="00B424F3">
          <w:rPr>
            <w:noProof/>
            <w:webHidden/>
          </w:rPr>
          <w:instrText xml:space="preserve"> PAGEREF _Toc386811728 \h </w:instrText>
        </w:r>
        <w:r w:rsidR="00B424F3">
          <w:rPr>
            <w:noProof/>
            <w:webHidden/>
          </w:rPr>
        </w:r>
        <w:r w:rsidR="00B424F3">
          <w:rPr>
            <w:noProof/>
            <w:webHidden/>
          </w:rPr>
          <w:fldChar w:fldCharType="separate"/>
        </w:r>
        <w:r w:rsidR="00B424F3">
          <w:rPr>
            <w:noProof/>
            <w:webHidden/>
          </w:rPr>
          <w:t>12</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29" w:history="1">
        <w:r w:rsidR="00B424F3" w:rsidRPr="003A6265">
          <w:rPr>
            <w:rStyle w:val="Hyperlink"/>
            <w:noProof/>
          </w:rPr>
          <w:t>2.3. Gas Energy Savings Estimation Methodologies</w:t>
        </w:r>
        <w:r w:rsidR="00B424F3">
          <w:rPr>
            <w:noProof/>
            <w:webHidden/>
          </w:rPr>
          <w:tab/>
        </w:r>
        <w:r w:rsidR="00B424F3">
          <w:rPr>
            <w:noProof/>
            <w:webHidden/>
          </w:rPr>
          <w:fldChar w:fldCharType="begin"/>
        </w:r>
        <w:r w:rsidR="00B424F3">
          <w:rPr>
            <w:noProof/>
            <w:webHidden/>
          </w:rPr>
          <w:instrText xml:space="preserve"> PAGEREF _Toc386811729 \h </w:instrText>
        </w:r>
        <w:r w:rsidR="00B424F3">
          <w:rPr>
            <w:noProof/>
            <w:webHidden/>
          </w:rPr>
        </w:r>
        <w:r w:rsidR="00B424F3">
          <w:rPr>
            <w:noProof/>
            <w:webHidden/>
          </w:rPr>
          <w:fldChar w:fldCharType="separate"/>
        </w:r>
        <w:r w:rsidR="00B424F3">
          <w:rPr>
            <w:noProof/>
            <w:webHidden/>
          </w:rPr>
          <w:t>14</w:t>
        </w:r>
        <w:r w:rsidR="00B424F3">
          <w:rPr>
            <w:noProof/>
            <w:webHidden/>
          </w:rPr>
          <w:fldChar w:fldCharType="end"/>
        </w:r>
      </w:hyperlink>
    </w:p>
    <w:p w:rsidR="00B424F3" w:rsidRDefault="00FF41C5">
      <w:pPr>
        <w:pStyle w:val="TOC2"/>
        <w:tabs>
          <w:tab w:val="left" w:pos="880"/>
          <w:tab w:val="right" w:leader="dot" w:pos="9350"/>
        </w:tabs>
        <w:rPr>
          <w:rFonts w:asciiTheme="minorHAnsi" w:eastAsiaTheme="minorEastAsia" w:hAnsiTheme="minorHAnsi" w:cstheme="minorBidi"/>
          <w:noProof/>
          <w:szCs w:val="22"/>
        </w:rPr>
      </w:pPr>
      <w:hyperlink w:anchor="_Toc386811730" w:history="1">
        <w:r w:rsidR="00B424F3" w:rsidRPr="003A6265">
          <w:rPr>
            <w:rStyle w:val="Hyperlink"/>
            <w:noProof/>
          </w:rPr>
          <w:t>2.4</w:t>
        </w:r>
        <w:r w:rsidR="00B424F3">
          <w:rPr>
            <w:rFonts w:asciiTheme="minorHAnsi" w:eastAsiaTheme="minorEastAsia" w:hAnsiTheme="minorHAnsi" w:cstheme="minorBidi"/>
            <w:noProof/>
            <w:szCs w:val="22"/>
          </w:rPr>
          <w:tab/>
        </w:r>
        <w:r w:rsidR="00B424F3" w:rsidRPr="003A6265">
          <w:rPr>
            <w:rStyle w:val="Hyperlink"/>
            <w:noProof/>
          </w:rPr>
          <w:t>Vintage Weighted Average</w:t>
        </w:r>
        <w:r w:rsidR="00B424F3">
          <w:rPr>
            <w:noProof/>
            <w:webHidden/>
          </w:rPr>
          <w:tab/>
        </w:r>
        <w:r w:rsidR="00B424F3">
          <w:rPr>
            <w:noProof/>
            <w:webHidden/>
          </w:rPr>
          <w:fldChar w:fldCharType="begin"/>
        </w:r>
        <w:r w:rsidR="00B424F3">
          <w:rPr>
            <w:noProof/>
            <w:webHidden/>
          </w:rPr>
          <w:instrText xml:space="preserve"> PAGEREF _Toc386811730 \h </w:instrText>
        </w:r>
        <w:r w:rsidR="00B424F3">
          <w:rPr>
            <w:noProof/>
            <w:webHidden/>
          </w:rPr>
        </w:r>
        <w:r w:rsidR="00B424F3">
          <w:rPr>
            <w:noProof/>
            <w:webHidden/>
          </w:rPr>
          <w:fldChar w:fldCharType="separate"/>
        </w:r>
        <w:r w:rsidR="00B424F3">
          <w:rPr>
            <w:noProof/>
            <w:webHidden/>
          </w:rPr>
          <w:t>14</w:t>
        </w:r>
        <w:r w:rsidR="00B424F3">
          <w:rPr>
            <w:noProof/>
            <w:webHidden/>
          </w:rPr>
          <w:fldChar w:fldCharType="end"/>
        </w:r>
      </w:hyperlink>
    </w:p>
    <w:p w:rsidR="00B424F3" w:rsidRDefault="00FF41C5">
      <w:pPr>
        <w:pStyle w:val="TOC1"/>
        <w:tabs>
          <w:tab w:val="right" w:leader="dot" w:pos="9350"/>
        </w:tabs>
        <w:rPr>
          <w:rFonts w:asciiTheme="minorHAnsi" w:eastAsiaTheme="minorEastAsia" w:hAnsiTheme="minorHAnsi" w:cstheme="minorBidi"/>
          <w:noProof/>
          <w:szCs w:val="22"/>
        </w:rPr>
      </w:pPr>
      <w:hyperlink w:anchor="_Toc386811731" w:history="1">
        <w:r w:rsidR="00B424F3" w:rsidRPr="003A6265">
          <w:rPr>
            <w:rStyle w:val="Hyperlink"/>
            <w:i/>
            <w:noProof/>
          </w:rPr>
          <w:t>Section 3. Load Shapes</w:t>
        </w:r>
        <w:r w:rsidR="00B424F3">
          <w:rPr>
            <w:noProof/>
            <w:webHidden/>
          </w:rPr>
          <w:tab/>
        </w:r>
        <w:r w:rsidR="00B424F3">
          <w:rPr>
            <w:noProof/>
            <w:webHidden/>
          </w:rPr>
          <w:fldChar w:fldCharType="begin"/>
        </w:r>
        <w:r w:rsidR="00B424F3">
          <w:rPr>
            <w:noProof/>
            <w:webHidden/>
          </w:rPr>
          <w:instrText xml:space="preserve"> PAGEREF _Toc386811731 \h </w:instrText>
        </w:r>
        <w:r w:rsidR="00B424F3">
          <w:rPr>
            <w:noProof/>
            <w:webHidden/>
          </w:rPr>
        </w:r>
        <w:r w:rsidR="00B424F3">
          <w:rPr>
            <w:noProof/>
            <w:webHidden/>
          </w:rPr>
          <w:fldChar w:fldCharType="separate"/>
        </w:r>
        <w:r w:rsidR="00B424F3">
          <w:rPr>
            <w:noProof/>
            <w:webHidden/>
          </w:rPr>
          <w:t>15</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32" w:history="1">
        <w:r w:rsidR="00B424F3" w:rsidRPr="003A6265">
          <w:rPr>
            <w:rStyle w:val="Hyperlink"/>
            <w:noProof/>
          </w:rPr>
          <w:t>3.1 Base Case Load Shapes</w:t>
        </w:r>
        <w:r w:rsidR="00B424F3">
          <w:rPr>
            <w:noProof/>
            <w:webHidden/>
          </w:rPr>
          <w:tab/>
        </w:r>
        <w:r w:rsidR="00B424F3">
          <w:rPr>
            <w:noProof/>
            <w:webHidden/>
          </w:rPr>
          <w:fldChar w:fldCharType="begin"/>
        </w:r>
        <w:r w:rsidR="00B424F3">
          <w:rPr>
            <w:noProof/>
            <w:webHidden/>
          </w:rPr>
          <w:instrText xml:space="preserve"> PAGEREF _Toc386811732 \h </w:instrText>
        </w:r>
        <w:r w:rsidR="00B424F3">
          <w:rPr>
            <w:noProof/>
            <w:webHidden/>
          </w:rPr>
        </w:r>
        <w:r w:rsidR="00B424F3">
          <w:rPr>
            <w:noProof/>
            <w:webHidden/>
          </w:rPr>
          <w:fldChar w:fldCharType="separate"/>
        </w:r>
        <w:r w:rsidR="00B424F3">
          <w:rPr>
            <w:noProof/>
            <w:webHidden/>
          </w:rPr>
          <w:t>15</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33" w:history="1">
        <w:r w:rsidR="00B424F3" w:rsidRPr="003A6265">
          <w:rPr>
            <w:rStyle w:val="Hyperlink"/>
            <w:noProof/>
          </w:rPr>
          <w:t>3.2 Measure Load Shapes</w:t>
        </w:r>
        <w:r w:rsidR="00B424F3">
          <w:rPr>
            <w:noProof/>
            <w:webHidden/>
          </w:rPr>
          <w:tab/>
        </w:r>
        <w:r w:rsidR="00B424F3">
          <w:rPr>
            <w:noProof/>
            <w:webHidden/>
          </w:rPr>
          <w:fldChar w:fldCharType="begin"/>
        </w:r>
        <w:r w:rsidR="00B424F3">
          <w:rPr>
            <w:noProof/>
            <w:webHidden/>
          </w:rPr>
          <w:instrText xml:space="preserve"> PAGEREF _Toc386811733 \h </w:instrText>
        </w:r>
        <w:r w:rsidR="00B424F3">
          <w:rPr>
            <w:noProof/>
            <w:webHidden/>
          </w:rPr>
        </w:r>
        <w:r w:rsidR="00B424F3">
          <w:rPr>
            <w:noProof/>
            <w:webHidden/>
          </w:rPr>
          <w:fldChar w:fldCharType="separate"/>
        </w:r>
        <w:r w:rsidR="00B424F3">
          <w:rPr>
            <w:noProof/>
            <w:webHidden/>
          </w:rPr>
          <w:t>15</w:t>
        </w:r>
        <w:r w:rsidR="00B424F3">
          <w:rPr>
            <w:noProof/>
            <w:webHidden/>
          </w:rPr>
          <w:fldChar w:fldCharType="end"/>
        </w:r>
      </w:hyperlink>
    </w:p>
    <w:p w:rsidR="00B424F3" w:rsidRDefault="00FF41C5">
      <w:pPr>
        <w:pStyle w:val="TOC1"/>
        <w:tabs>
          <w:tab w:val="right" w:leader="dot" w:pos="9350"/>
        </w:tabs>
        <w:rPr>
          <w:rFonts w:asciiTheme="minorHAnsi" w:eastAsiaTheme="minorEastAsia" w:hAnsiTheme="minorHAnsi" w:cstheme="minorBidi"/>
          <w:noProof/>
          <w:szCs w:val="22"/>
        </w:rPr>
      </w:pPr>
      <w:hyperlink w:anchor="_Toc386811734" w:history="1">
        <w:r w:rsidR="00B424F3" w:rsidRPr="003A6265">
          <w:rPr>
            <w:rStyle w:val="Hyperlink"/>
            <w:noProof/>
          </w:rPr>
          <w:t>Section 4. Base Case &amp; Measure Costs</w:t>
        </w:r>
        <w:r w:rsidR="00B424F3">
          <w:rPr>
            <w:noProof/>
            <w:webHidden/>
          </w:rPr>
          <w:tab/>
        </w:r>
        <w:r w:rsidR="00B424F3">
          <w:rPr>
            <w:noProof/>
            <w:webHidden/>
          </w:rPr>
          <w:fldChar w:fldCharType="begin"/>
        </w:r>
        <w:r w:rsidR="00B424F3">
          <w:rPr>
            <w:noProof/>
            <w:webHidden/>
          </w:rPr>
          <w:instrText xml:space="preserve"> PAGEREF _Toc386811734 \h </w:instrText>
        </w:r>
        <w:r w:rsidR="00B424F3">
          <w:rPr>
            <w:noProof/>
            <w:webHidden/>
          </w:rPr>
        </w:r>
        <w:r w:rsidR="00B424F3">
          <w:rPr>
            <w:noProof/>
            <w:webHidden/>
          </w:rPr>
          <w:fldChar w:fldCharType="separate"/>
        </w:r>
        <w:r w:rsidR="00B424F3">
          <w:rPr>
            <w:noProof/>
            <w:webHidden/>
          </w:rPr>
          <w:t>15</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35" w:history="1">
        <w:r w:rsidR="00B424F3" w:rsidRPr="003A6265">
          <w:rPr>
            <w:rStyle w:val="Hyperlink"/>
            <w:noProof/>
          </w:rPr>
          <w:t>4.1 Base Case(s) Costs</w:t>
        </w:r>
        <w:r w:rsidR="00B424F3">
          <w:rPr>
            <w:noProof/>
            <w:webHidden/>
          </w:rPr>
          <w:tab/>
        </w:r>
        <w:r w:rsidR="00B424F3">
          <w:rPr>
            <w:noProof/>
            <w:webHidden/>
          </w:rPr>
          <w:fldChar w:fldCharType="begin"/>
        </w:r>
        <w:r w:rsidR="00B424F3">
          <w:rPr>
            <w:noProof/>
            <w:webHidden/>
          </w:rPr>
          <w:instrText xml:space="preserve"> PAGEREF _Toc386811735 \h </w:instrText>
        </w:r>
        <w:r w:rsidR="00B424F3">
          <w:rPr>
            <w:noProof/>
            <w:webHidden/>
          </w:rPr>
        </w:r>
        <w:r w:rsidR="00B424F3">
          <w:rPr>
            <w:noProof/>
            <w:webHidden/>
          </w:rPr>
          <w:fldChar w:fldCharType="separate"/>
        </w:r>
        <w:r w:rsidR="00B424F3">
          <w:rPr>
            <w:noProof/>
            <w:webHidden/>
          </w:rPr>
          <w:t>16</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36" w:history="1">
        <w:r w:rsidR="00B424F3" w:rsidRPr="003A6265">
          <w:rPr>
            <w:rStyle w:val="Hyperlink"/>
            <w:noProof/>
          </w:rPr>
          <w:t>4.2 Measure Case Costs</w:t>
        </w:r>
        <w:r w:rsidR="00B424F3">
          <w:rPr>
            <w:noProof/>
            <w:webHidden/>
          </w:rPr>
          <w:tab/>
        </w:r>
        <w:r w:rsidR="00B424F3">
          <w:rPr>
            <w:noProof/>
            <w:webHidden/>
          </w:rPr>
          <w:fldChar w:fldCharType="begin"/>
        </w:r>
        <w:r w:rsidR="00B424F3">
          <w:rPr>
            <w:noProof/>
            <w:webHidden/>
          </w:rPr>
          <w:instrText xml:space="preserve"> PAGEREF _Toc386811736 \h </w:instrText>
        </w:r>
        <w:r w:rsidR="00B424F3">
          <w:rPr>
            <w:noProof/>
            <w:webHidden/>
          </w:rPr>
        </w:r>
        <w:r w:rsidR="00B424F3">
          <w:rPr>
            <w:noProof/>
            <w:webHidden/>
          </w:rPr>
          <w:fldChar w:fldCharType="separate"/>
        </w:r>
        <w:r w:rsidR="00B424F3">
          <w:rPr>
            <w:noProof/>
            <w:webHidden/>
          </w:rPr>
          <w:t>16</w:t>
        </w:r>
        <w:r w:rsidR="00B424F3">
          <w:rPr>
            <w:noProof/>
            <w:webHidden/>
          </w:rPr>
          <w:fldChar w:fldCharType="end"/>
        </w:r>
      </w:hyperlink>
    </w:p>
    <w:p w:rsidR="00B424F3" w:rsidRDefault="00FF41C5">
      <w:pPr>
        <w:pStyle w:val="TOC2"/>
        <w:tabs>
          <w:tab w:val="right" w:leader="dot" w:pos="9350"/>
        </w:tabs>
        <w:rPr>
          <w:rFonts w:asciiTheme="minorHAnsi" w:eastAsiaTheme="minorEastAsia" w:hAnsiTheme="minorHAnsi" w:cstheme="minorBidi"/>
          <w:noProof/>
          <w:szCs w:val="22"/>
        </w:rPr>
      </w:pPr>
      <w:hyperlink w:anchor="_Toc386811737" w:history="1">
        <w:r w:rsidR="00B424F3" w:rsidRPr="003A6265">
          <w:rPr>
            <w:rStyle w:val="Hyperlink"/>
            <w:noProof/>
          </w:rPr>
          <w:t>4.3 Incremental &amp; Full Measure Costs</w:t>
        </w:r>
        <w:r w:rsidR="00B424F3">
          <w:rPr>
            <w:noProof/>
            <w:webHidden/>
          </w:rPr>
          <w:tab/>
        </w:r>
        <w:r w:rsidR="00B424F3">
          <w:rPr>
            <w:noProof/>
            <w:webHidden/>
          </w:rPr>
          <w:fldChar w:fldCharType="begin"/>
        </w:r>
        <w:r w:rsidR="00B424F3">
          <w:rPr>
            <w:noProof/>
            <w:webHidden/>
          </w:rPr>
          <w:instrText xml:space="preserve"> PAGEREF _Toc386811737 \h </w:instrText>
        </w:r>
        <w:r w:rsidR="00B424F3">
          <w:rPr>
            <w:noProof/>
            <w:webHidden/>
          </w:rPr>
        </w:r>
        <w:r w:rsidR="00B424F3">
          <w:rPr>
            <w:noProof/>
            <w:webHidden/>
          </w:rPr>
          <w:fldChar w:fldCharType="separate"/>
        </w:r>
        <w:r w:rsidR="00B424F3">
          <w:rPr>
            <w:noProof/>
            <w:webHidden/>
          </w:rPr>
          <w:t>17</w:t>
        </w:r>
        <w:r w:rsidR="00B424F3">
          <w:rPr>
            <w:noProof/>
            <w:webHidden/>
          </w:rPr>
          <w:fldChar w:fldCharType="end"/>
        </w:r>
      </w:hyperlink>
    </w:p>
    <w:p w:rsidR="00B424F3" w:rsidRDefault="00FF41C5">
      <w:pPr>
        <w:pStyle w:val="TOC1"/>
        <w:tabs>
          <w:tab w:val="right" w:leader="dot" w:pos="9350"/>
        </w:tabs>
        <w:rPr>
          <w:rFonts w:asciiTheme="minorHAnsi" w:eastAsiaTheme="minorEastAsia" w:hAnsiTheme="minorHAnsi" w:cstheme="minorBidi"/>
          <w:noProof/>
          <w:szCs w:val="22"/>
        </w:rPr>
      </w:pPr>
      <w:hyperlink w:anchor="_Toc386811738" w:history="1">
        <w:r w:rsidR="00B424F3" w:rsidRPr="003A6265">
          <w:rPr>
            <w:rStyle w:val="Hyperlink"/>
            <w:i/>
            <w:noProof/>
          </w:rPr>
          <w:t>4.3.1 Gross Measure Cost</w:t>
        </w:r>
        <w:r w:rsidR="00B424F3">
          <w:rPr>
            <w:noProof/>
            <w:webHidden/>
          </w:rPr>
          <w:tab/>
        </w:r>
        <w:r w:rsidR="00B424F3">
          <w:rPr>
            <w:noProof/>
            <w:webHidden/>
          </w:rPr>
          <w:fldChar w:fldCharType="begin"/>
        </w:r>
        <w:r w:rsidR="00B424F3">
          <w:rPr>
            <w:noProof/>
            <w:webHidden/>
          </w:rPr>
          <w:instrText xml:space="preserve"> PAGEREF _Toc386811738 \h </w:instrText>
        </w:r>
        <w:r w:rsidR="00B424F3">
          <w:rPr>
            <w:noProof/>
            <w:webHidden/>
          </w:rPr>
        </w:r>
        <w:r w:rsidR="00B424F3">
          <w:rPr>
            <w:noProof/>
            <w:webHidden/>
          </w:rPr>
          <w:fldChar w:fldCharType="separate"/>
        </w:r>
        <w:r w:rsidR="00B424F3">
          <w:rPr>
            <w:noProof/>
            <w:webHidden/>
          </w:rPr>
          <w:t>17</w:t>
        </w:r>
        <w:r w:rsidR="00B424F3">
          <w:rPr>
            <w:noProof/>
            <w:webHidden/>
          </w:rPr>
          <w:fldChar w:fldCharType="end"/>
        </w:r>
      </w:hyperlink>
    </w:p>
    <w:p w:rsidR="00B424F3" w:rsidRDefault="00FF41C5">
      <w:pPr>
        <w:pStyle w:val="TOC1"/>
        <w:tabs>
          <w:tab w:val="right" w:leader="dot" w:pos="9350"/>
        </w:tabs>
        <w:rPr>
          <w:rFonts w:asciiTheme="minorHAnsi" w:eastAsiaTheme="minorEastAsia" w:hAnsiTheme="minorHAnsi" w:cstheme="minorBidi"/>
          <w:noProof/>
          <w:szCs w:val="22"/>
        </w:rPr>
      </w:pPr>
      <w:hyperlink w:anchor="_Toc386811739" w:history="1">
        <w:r w:rsidR="00B424F3" w:rsidRPr="003A6265">
          <w:rPr>
            <w:rStyle w:val="Hyperlink"/>
            <w:i/>
            <w:noProof/>
          </w:rPr>
          <w:t>4.3.2 Incremental Measure Costs</w:t>
        </w:r>
        <w:r w:rsidR="00B424F3">
          <w:rPr>
            <w:noProof/>
            <w:webHidden/>
          </w:rPr>
          <w:tab/>
        </w:r>
        <w:r w:rsidR="00B424F3">
          <w:rPr>
            <w:noProof/>
            <w:webHidden/>
          </w:rPr>
          <w:fldChar w:fldCharType="begin"/>
        </w:r>
        <w:r w:rsidR="00B424F3">
          <w:rPr>
            <w:noProof/>
            <w:webHidden/>
          </w:rPr>
          <w:instrText xml:space="preserve"> PAGEREF _Toc386811739 \h </w:instrText>
        </w:r>
        <w:r w:rsidR="00B424F3">
          <w:rPr>
            <w:noProof/>
            <w:webHidden/>
          </w:rPr>
        </w:r>
        <w:r w:rsidR="00B424F3">
          <w:rPr>
            <w:noProof/>
            <w:webHidden/>
          </w:rPr>
          <w:fldChar w:fldCharType="separate"/>
        </w:r>
        <w:r w:rsidR="00B424F3">
          <w:rPr>
            <w:noProof/>
            <w:webHidden/>
          </w:rPr>
          <w:t>18</w:t>
        </w:r>
        <w:r w:rsidR="00B424F3">
          <w:rPr>
            <w:noProof/>
            <w:webHidden/>
          </w:rPr>
          <w:fldChar w:fldCharType="end"/>
        </w:r>
      </w:hyperlink>
    </w:p>
    <w:p w:rsidR="00B424F3" w:rsidRDefault="00FF41C5">
      <w:pPr>
        <w:pStyle w:val="TOC1"/>
        <w:tabs>
          <w:tab w:val="right" w:leader="dot" w:pos="9350"/>
        </w:tabs>
        <w:rPr>
          <w:rFonts w:asciiTheme="minorHAnsi" w:eastAsiaTheme="minorEastAsia" w:hAnsiTheme="minorHAnsi" w:cstheme="minorBidi"/>
          <w:noProof/>
          <w:szCs w:val="22"/>
        </w:rPr>
      </w:pPr>
      <w:hyperlink w:anchor="_Toc386811740" w:history="1">
        <w:r w:rsidR="00B424F3" w:rsidRPr="003A6265">
          <w:rPr>
            <w:rStyle w:val="Hyperlink"/>
            <w:noProof/>
          </w:rPr>
          <w:t>References</w:t>
        </w:r>
        <w:r w:rsidR="00B424F3">
          <w:rPr>
            <w:noProof/>
            <w:webHidden/>
          </w:rPr>
          <w:tab/>
        </w:r>
        <w:r w:rsidR="00B424F3">
          <w:rPr>
            <w:noProof/>
            <w:webHidden/>
          </w:rPr>
          <w:fldChar w:fldCharType="begin"/>
        </w:r>
        <w:r w:rsidR="00B424F3">
          <w:rPr>
            <w:noProof/>
            <w:webHidden/>
          </w:rPr>
          <w:instrText xml:space="preserve"> PAGEREF _Toc386811740 \h </w:instrText>
        </w:r>
        <w:r w:rsidR="00B424F3">
          <w:rPr>
            <w:noProof/>
            <w:webHidden/>
          </w:rPr>
        </w:r>
        <w:r w:rsidR="00B424F3">
          <w:rPr>
            <w:noProof/>
            <w:webHidden/>
          </w:rPr>
          <w:fldChar w:fldCharType="separate"/>
        </w:r>
        <w:r w:rsidR="00B424F3">
          <w:rPr>
            <w:noProof/>
            <w:webHidden/>
          </w:rPr>
          <w:t>19</w:t>
        </w:r>
        <w:r w:rsidR="00B424F3">
          <w:rPr>
            <w:noProof/>
            <w:webHidden/>
          </w:rPr>
          <w:fldChar w:fldCharType="end"/>
        </w:r>
      </w:hyperlink>
    </w:p>
    <w:p w:rsidR="001E4C31" w:rsidRPr="00DD3825" w:rsidRDefault="001E4C31">
      <w:r w:rsidRPr="00DD3825">
        <w:rPr>
          <w:b/>
          <w:bCs/>
          <w:noProof/>
        </w:rPr>
        <w:fldChar w:fldCharType="end"/>
      </w:r>
    </w:p>
    <w:p w:rsidR="00ED21EE" w:rsidRPr="00DD3825" w:rsidRDefault="006559C8" w:rsidP="00ED21EE">
      <w:pPr>
        <w:pStyle w:val="Heading1"/>
      </w:pPr>
      <w:r w:rsidRPr="00DD3825">
        <w:br w:type="page"/>
      </w:r>
      <w:bookmarkStart w:id="18" w:name="_Toc172205729"/>
      <w:bookmarkStart w:id="19" w:name="_Toc304800199"/>
      <w:bookmarkStart w:id="20" w:name="_Toc324318335"/>
      <w:bookmarkStart w:id="21" w:name="_Toc324340479"/>
      <w:bookmarkStart w:id="22" w:name="_Toc386811706"/>
      <w:r w:rsidR="00ED21EE" w:rsidRPr="00DD3825">
        <w:lastRenderedPageBreak/>
        <w:t>List of Tables</w:t>
      </w:r>
      <w:bookmarkEnd w:id="18"/>
      <w:bookmarkEnd w:id="19"/>
      <w:bookmarkEnd w:id="20"/>
      <w:bookmarkEnd w:id="21"/>
      <w:bookmarkEnd w:id="22"/>
    </w:p>
    <w:p w:rsidR="00B424F3" w:rsidRDefault="00ED21EE">
      <w:pPr>
        <w:pStyle w:val="TableofFigures"/>
        <w:tabs>
          <w:tab w:val="right" w:leader="dot" w:pos="9350"/>
        </w:tabs>
        <w:rPr>
          <w:rFonts w:asciiTheme="minorHAnsi" w:eastAsiaTheme="minorEastAsia" w:hAnsiTheme="minorHAnsi" w:cstheme="minorBidi"/>
          <w:noProof/>
          <w:szCs w:val="22"/>
        </w:rPr>
      </w:pPr>
      <w:r w:rsidRPr="00DD3825">
        <w:fldChar w:fldCharType="begin"/>
      </w:r>
      <w:r w:rsidRPr="00DD3825">
        <w:instrText xml:space="preserve"> TOC \h \z \c "Table" </w:instrText>
      </w:r>
      <w:r w:rsidRPr="00DD3825">
        <w:fldChar w:fldCharType="separate"/>
      </w:r>
      <w:hyperlink w:anchor="_Toc386811741" w:history="1">
        <w:r w:rsidR="00B424F3" w:rsidRPr="00BF4C67">
          <w:rPr>
            <w:rStyle w:val="Hyperlink"/>
            <w:noProof/>
          </w:rPr>
          <w:t>Table 1 Economizer High Limit Shut Off Control Requirements*</w:t>
        </w:r>
        <w:r w:rsidR="00B424F3">
          <w:rPr>
            <w:noProof/>
            <w:webHidden/>
          </w:rPr>
          <w:tab/>
        </w:r>
        <w:r w:rsidR="00B424F3">
          <w:rPr>
            <w:noProof/>
            <w:webHidden/>
          </w:rPr>
          <w:fldChar w:fldCharType="begin"/>
        </w:r>
        <w:r w:rsidR="00B424F3">
          <w:rPr>
            <w:noProof/>
            <w:webHidden/>
          </w:rPr>
          <w:instrText xml:space="preserve"> PAGEREF _Toc386811741 \h </w:instrText>
        </w:r>
        <w:r w:rsidR="00B424F3">
          <w:rPr>
            <w:noProof/>
            <w:webHidden/>
          </w:rPr>
        </w:r>
        <w:r w:rsidR="00B424F3">
          <w:rPr>
            <w:noProof/>
            <w:webHidden/>
          </w:rPr>
          <w:fldChar w:fldCharType="separate"/>
        </w:r>
        <w:r w:rsidR="00B424F3">
          <w:rPr>
            <w:noProof/>
            <w:webHidden/>
          </w:rPr>
          <w:t>1</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42" w:history="1">
        <w:r w:rsidR="00B424F3" w:rsidRPr="00BF4C67">
          <w:rPr>
            <w:rStyle w:val="Hyperlink"/>
            <w:noProof/>
          </w:rPr>
          <w:t>Table 2 Required Data</w:t>
        </w:r>
        <w:r w:rsidR="00B424F3">
          <w:rPr>
            <w:noProof/>
            <w:webHidden/>
          </w:rPr>
          <w:tab/>
        </w:r>
        <w:r w:rsidR="00B424F3">
          <w:rPr>
            <w:noProof/>
            <w:webHidden/>
          </w:rPr>
          <w:fldChar w:fldCharType="begin"/>
        </w:r>
        <w:r w:rsidR="00B424F3">
          <w:rPr>
            <w:noProof/>
            <w:webHidden/>
          </w:rPr>
          <w:instrText xml:space="preserve"> PAGEREF _Toc386811742 \h </w:instrText>
        </w:r>
        <w:r w:rsidR="00B424F3">
          <w:rPr>
            <w:noProof/>
            <w:webHidden/>
          </w:rPr>
        </w:r>
        <w:r w:rsidR="00B424F3">
          <w:rPr>
            <w:noProof/>
            <w:webHidden/>
          </w:rPr>
          <w:fldChar w:fldCharType="separate"/>
        </w:r>
        <w:r w:rsidR="00B424F3">
          <w:rPr>
            <w:noProof/>
            <w:webHidden/>
          </w:rPr>
          <w:t>2</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43" w:history="1">
        <w:r w:rsidR="00B424F3" w:rsidRPr="00BF4C67">
          <w:rPr>
            <w:rStyle w:val="Hyperlink"/>
            <w:noProof/>
          </w:rPr>
          <w:t>Table 3 - Building Types and Activity Area Types Simulated</w:t>
        </w:r>
        <w:r w:rsidR="00B424F3">
          <w:rPr>
            <w:noProof/>
            <w:webHidden/>
          </w:rPr>
          <w:tab/>
        </w:r>
        <w:r w:rsidR="00B424F3">
          <w:rPr>
            <w:noProof/>
            <w:webHidden/>
          </w:rPr>
          <w:fldChar w:fldCharType="begin"/>
        </w:r>
        <w:r w:rsidR="00B424F3">
          <w:rPr>
            <w:noProof/>
            <w:webHidden/>
          </w:rPr>
          <w:instrText xml:space="preserve"> PAGEREF _Toc386811743 \h </w:instrText>
        </w:r>
        <w:r w:rsidR="00B424F3">
          <w:rPr>
            <w:noProof/>
            <w:webHidden/>
          </w:rPr>
        </w:r>
        <w:r w:rsidR="00B424F3">
          <w:rPr>
            <w:noProof/>
            <w:webHidden/>
          </w:rPr>
          <w:fldChar w:fldCharType="separate"/>
        </w:r>
        <w:r w:rsidR="00B424F3">
          <w:rPr>
            <w:noProof/>
            <w:webHidden/>
          </w:rPr>
          <w:t>3</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44" w:history="1">
        <w:r w:rsidR="00B424F3" w:rsidRPr="00BF4C67">
          <w:rPr>
            <w:rStyle w:val="Hyperlink"/>
            <w:noProof/>
          </w:rPr>
          <w:t>Table 4</w:t>
        </w:r>
        <w:r w:rsidR="00B424F3" w:rsidRPr="00BF4C67">
          <w:rPr>
            <w:rStyle w:val="Hyperlink"/>
            <w:rFonts w:ascii="Calibri" w:hAnsi="Calibri" w:cs="Calibri"/>
            <w:noProof/>
          </w:rPr>
          <w:t xml:space="preserve"> </w:t>
        </w:r>
        <w:r w:rsidR="00B424F3" w:rsidRPr="00BF4C67">
          <w:rPr>
            <w:rStyle w:val="Hyperlink"/>
            <w:rFonts w:cs="Arial"/>
            <w:noProof/>
          </w:rPr>
          <w:t>Measure Application Type</w:t>
        </w:r>
        <w:r w:rsidR="00B424F3">
          <w:rPr>
            <w:noProof/>
            <w:webHidden/>
          </w:rPr>
          <w:tab/>
        </w:r>
        <w:r w:rsidR="00B424F3">
          <w:rPr>
            <w:noProof/>
            <w:webHidden/>
          </w:rPr>
          <w:fldChar w:fldCharType="begin"/>
        </w:r>
        <w:r w:rsidR="00B424F3">
          <w:rPr>
            <w:noProof/>
            <w:webHidden/>
          </w:rPr>
          <w:instrText xml:space="preserve"> PAGEREF _Toc386811744 \h </w:instrText>
        </w:r>
        <w:r w:rsidR="00B424F3">
          <w:rPr>
            <w:noProof/>
            <w:webHidden/>
          </w:rPr>
        </w:r>
        <w:r w:rsidR="00B424F3">
          <w:rPr>
            <w:noProof/>
            <w:webHidden/>
          </w:rPr>
          <w:fldChar w:fldCharType="separate"/>
        </w:r>
        <w:r w:rsidR="00B424F3">
          <w:rPr>
            <w:noProof/>
            <w:webHidden/>
          </w:rPr>
          <w:t>5</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45" w:history="1">
        <w:r w:rsidR="00B424F3" w:rsidRPr="00BF4C67">
          <w:rPr>
            <w:rStyle w:val="Hyperlink"/>
            <w:noProof/>
          </w:rPr>
          <w:t>Table 5 DEER Prototype Tech ID by Measure</w:t>
        </w:r>
        <w:r w:rsidR="00B424F3">
          <w:rPr>
            <w:noProof/>
            <w:webHidden/>
          </w:rPr>
          <w:tab/>
        </w:r>
        <w:r w:rsidR="00B424F3">
          <w:rPr>
            <w:noProof/>
            <w:webHidden/>
          </w:rPr>
          <w:fldChar w:fldCharType="begin"/>
        </w:r>
        <w:r w:rsidR="00B424F3">
          <w:rPr>
            <w:noProof/>
            <w:webHidden/>
          </w:rPr>
          <w:instrText xml:space="preserve"> PAGEREF _Toc386811745 \h </w:instrText>
        </w:r>
        <w:r w:rsidR="00B424F3">
          <w:rPr>
            <w:noProof/>
            <w:webHidden/>
          </w:rPr>
        </w:r>
        <w:r w:rsidR="00B424F3">
          <w:rPr>
            <w:noProof/>
            <w:webHidden/>
          </w:rPr>
          <w:fldChar w:fldCharType="separate"/>
        </w:r>
        <w:r w:rsidR="00B424F3">
          <w:rPr>
            <w:noProof/>
            <w:webHidden/>
          </w:rPr>
          <w:t>6</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46" w:history="1">
        <w:r w:rsidR="00B424F3" w:rsidRPr="00BF4C67">
          <w:rPr>
            <w:rStyle w:val="Hyperlink"/>
            <w:noProof/>
          </w:rPr>
          <w:t>Table 6 Baseline modifications to eQuest keywords</w:t>
        </w:r>
        <w:r w:rsidR="00B424F3">
          <w:rPr>
            <w:noProof/>
            <w:webHidden/>
          </w:rPr>
          <w:tab/>
        </w:r>
        <w:r w:rsidR="00B424F3">
          <w:rPr>
            <w:noProof/>
            <w:webHidden/>
          </w:rPr>
          <w:fldChar w:fldCharType="begin"/>
        </w:r>
        <w:r w:rsidR="00B424F3">
          <w:rPr>
            <w:noProof/>
            <w:webHidden/>
          </w:rPr>
          <w:instrText xml:space="preserve"> PAGEREF _Toc386811746 \h </w:instrText>
        </w:r>
        <w:r w:rsidR="00B424F3">
          <w:rPr>
            <w:noProof/>
            <w:webHidden/>
          </w:rPr>
        </w:r>
        <w:r w:rsidR="00B424F3">
          <w:rPr>
            <w:noProof/>
            <w:webHidden/>
          </w:rPr>
          <w:fldChar w:fldCharType="separate"/>
        </w:r>
        <w:r w:rsidR="00B424F3">
          <w:rPr>
            <w:noProof/>
            <w:webHidden/>
          </w:rPr>
          <w:t>7</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47" w:history="1">
        <w:r w:rsidR="00B424F3" w:rsidRPr="00BF4C67">
          <w:rPr>
            <w:rStyle w:val="Hyperlink"/>
            <w:noProof/>
          </w:rPr>
          <w:t>Table 7 Measure-case eQUEST keyword modifications</w:t>
        </w:r>
        <w:r w:rsidR="00B424F3">
          <w:rPr>
            <w:noProof/>
            <w:webHidden/>
          </w:rPr>
          <w:tab/>
        </w:r>
        <w:r w:rsidR="00B424F3">
          <w:rPr>
            <w:noProof/>
            <w:webHidden/>
          </w:rPr>
          <w:fldChar w:fldCharType="begin"/>
        </w:r>
        <w:r w:rsidR="00B424F3">
          <w:rPr>
            <w:noProof/>
            <w:webHidden/>
          </w:rPr>
          <w:instrText xml:space="preserve"> PAGEREF _Toc386811747 \h </w:instrText>
        </w:r>
        <w:r w:rsidR="00B424F3">
          <w:rPr>
            <w:noProof/>
            <w:webHidden/>
          </w:rPr>
        </w:r>
        <w:r w:rsidR="00B424F3">
          <w:rPr>
            <w:noProof/>
            <w:webHidden/>
          </w:rPr>
          <w:fldChar w:fldCharType="separate"/>
        </w:r>
        <w:r w:rsidR="00B424F3">
          <w:rPr>
            <w:noProof/>
            <w:webHidden/>
          </w:rPr>
          <w:t>7</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48" w:history="1">
        <w:r w:rsidR="00B424F3" w:rsidRPr="00BF4C67">
          <w:rPr>
            <w:rStyle w:val="Hyperlink"/>
            <w:rFonts w:cs="Arial"/>
            <w:noProof/>
          </w:rPr>
          <w:t>Table 8 DEER Net-to-Gross Ratios</w:t>
        </w:r>
        <w:r w:rsidR="00B424F3">
          <w:rPr>
            <w:noProof/>
            <w:webHidden/>
          </w:rPr>
          <w:tab/>
        </w:r>
        <w:r w:rsidR="00B424F3">
          <w:rPr>
            <w:noProof/>
            <w:webHidden/>
          </w:rPr>
          <w:fldChar w:fldCharType="begin"/>
        </w:r>
        <w:r w:rsidR="00B424F3">
          <w:rPr>
            <w:noProof/>
            <w:webHidden/>
          </w:rPr>
          <w:instrText xml:space="preserve"> PAGEREF _Toc386811748 \h </w:instrText>
        </w:r>
        <w:r w:rsidR="00B424F3">
          <w:rPr>
            <w:noProof/>
            <w:webHidden/>
          </w:rPr>
        </w:r>
        <w:r w:rsidR="00B424F3">
          <w:rPr>
            <w:noProof/>
            <w:webHidden/>
          </w:rPr>
          <w:fldChar w:fldCharType="separate"/>
        </w:r>
        <w:r w:rsidR="00B424F3">
          <w:rPr>
            <w:noProof/>
            <w:webHidden/>
          </w:rPr>
          <w:t>8</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49" w:history="1">
        <w:r w:rsidR="00B424F3" w:rsidRPr="00BF4C67">
          <w:rPr>
            <w:rStyle w:val="Hyperlink"/>
            <w:noProof/>
          </w:rPr>
          <w:t>Table 9 Effective Useful Life: DEER Version and Impact IDs</w:t>
        </w:r>
        <w:r w:rsidR="00B424F3">
          <w:rPr>
            <w:noProof/>
            <w:webHidden/>
          </w:rPr>
          <w:tab/>
        </w:r>
        <w:r w:rsidR="00B424F3">
          <w:rPr>
            <w:noProof/>
            <w:webHidden/>
          </w:rPr>
          <w:fldChar w:fldCharType="begin"/>
        </w:r>
        <w:r w:rsidR="00B424F3">
          <w:rPr>
            <w:noProof/>
            <w:webHidden/>
          </w:rPr>
          <w:instrText xml:space="preserve"> PAGEREF _Toc386811749 \h </w:instrText>
        </w:r>
        <w:r w:rsidR="00B424F3">
          <w:rPr>
            <w:noProof/>
            <w:webHidden/>
          </w:rPr>
        </w:r>
        <w:r w:rsidR="00B424F3">
          <w:rPr>
            <w:noProof/>
            <w:webHidden/>
          </w:rPr>
          <w:fldChar w:fldCharType="separate"/>
        </w:r>
        <w:r w:rsidR="00B424F3">
          <w:rPr>
            <w:noProof/>
            <w:webHidden/>
          </w:rPr>
          <w:t>8</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50" w:history="1">
        <w:r w:rsidR="00B424F3" w:rsidRPr="00BF4C67">
          <w:rPr>
            <w:rStyle w:val="Hyperlink"/>
            <w:noProof/>
          </w:rPr>
          <w:t>Table 10  TOU Adjustment Factors</w:t>
        </w:r>
        <w:r w:rsidR="00B424F3">
          <w:rPr>
            <w:noProof/>
            <w:webHidden/>
          </w:rPr>
          <w:tab/>
        </w:r>
        <w:r w:rsidR="00B424F3">
          <w:rPr>
            <w:noProof/>
            <w:webHidden/>
          </w:rPr>
          <w:fldChar w:fldCharType="begin"/>
        </w:r>
        <w:r w:rsidR="00B424F3">
          <w:rPr>
            <w:noProof/>
            <w:webHidden/>
          </w:rPr>
          <w:instrText xml:space="preserve"> PAGEREF _Toc386811750 \h </w:instrText>
        </w:r>
        <w:r w:rsidR="00B424F3">
          <w:rPr>
            <w:noProof/>
            <w:webHidden/>
          </w:rPr>
        </w:r>
        <w:r w:rsidR="00B424F3">
          <w:rPr>
            <w:noProof/>
            <w:webHidden/>
          </w:rPr>
          <w:fldChar w:fldCharType="separate"/>
        </w:r>
        <w:r w:rsidR="00B424F3">
          <w:rPr>
            <w:noProof/>
            <w:webHidden/>
          </w:rPr>
          <w:t>9</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51" w:history="1">
        <w:r w:rsidR="00B424F3" w:rsidRPr="00BF4C67">
          <w:rPr>
            <w:rStyle w:val="Hyperlink"/>
            <w:noProof/>
          </w:rPr>
          <w:t>Table 11 Inputs for Calculation</w:t>
        </w:r>
        <w:r w:rsidR="00B424F3">
          <w:rPr>
            <w:noProof/>
            <w:webHidden/>
          </w:rPr>
          <w:tab/>
        </w:r>
        <w:r w:rsidR="00B424F3">
          <w:rPr>
            <w:noProof/>
            <w:webHidden/>
          </w:rPr>
          <w:fldChar w:fldCharType="begin"/>
        </w:r>
        <w:r w:rsidR="00B424F3">
          <w:rPr>
            <w:noProof/>
            <w:webHidden/>
          </w:rPr>
          <w:instrText xml:space="preserve"> PAGEREF _Toc386811751 \h </w:instrText>
        </w:r>
        <w:r w:rsidR="00B424F3">
          <w:rPr>
            <w:noProof/>
            <w:webHidden/>
          </w:rPr>
        </w:r>
        <w:r w:rsidR="00B424F3">
          <w:rPr>
            <w:noProof/>
            <w:webHidden/>
          </w:rPr>
          <w:fldChar w:fldCharType="separate"/>
        </w:r>
        <w:r w:rsidR="00B424F3">
          <w:rPr>
            <w:noProof/>
            <w:webHidden/>
          </w:rPr>
          <w:t>10</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52" w:history="1">
        <w:r w:rsidR="00B424F3" w:rsidRPr="00BF4C67">
          <w:rPr>
            <w:rStyle w:val="Hyperlink"/>
            <w:noProof/>
          </w:rPr>
          <w:t>Table 12 Baseline by Measure Application Type</w:t>
        </w:r>
        <w:r w:rsidR="00B424F3">
          <w:rPr>
            <w:noProof/>
            <w:webHidden/>
          </w:rPr>
          <w:tab/>
        </w:r>
        <w:r w:rsidR="00B424F3">
          <w:rPr>
            <w:noProof/>
            <w:webHidden/>
          </w:rPr>
          <w:fldChar w:fldCharType="begin"/>
        </w:r>
        <w:r w:rsidR="00B424F3">
          <w:rPr>
            <w:noProof/>
            <w:webHidden/>
          </w:rPr>
          <w:instrText xml:space="preserve"> PAGEREF _Toc386811752 \h </w:instrText>
        </w:r>
        <w:r w:rsidR="00B424F3">
          <w:rPr>
            <w:noProof/>
            <w:webHidden/>
          </w:rPr>
        </w:r>
        <w:r w:rsidR="00B424F3">
          <w:rPr>
            <w:noProof/>
            <w:webHidden/>
          </w:rPr>
          <w:fldChar w:fldCharType="separate"/>
        </w:r>
        <w:r w:rsidR="00B424F3">
          <w:rPr>
            <w:noProof/>
            <w:webHidden/>
          </w:rPr>
          <w:t>11</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53" w:history="1">
        <w:r w:rsidR="00B424F3" w:rsidRPr="00BF4C67">
          <w:rPr>
            <w:rStyle w:val="Hyperlink"/>
            <w:noProof/>
          </w:rPr>
          <w:t>Table 13 Asm cz11 v85 AC with Gas Heat Electric Energy Use and Cooling Capacity Data</w:t>
        </w:r>
        <w:r w:rsidR="00B424F3">
          <w:rPr>
            <w:noProof/>
            <w:webHidden/>
          </w:rPr>
          <w:tab/>
        </w:r>
        <w:r w:rsidR="00B424F3">
          <w:rPr>
            <w:noProof/>
            <w:webHidden/>
          </w:rPr>
          <w:fldChar w:fldCharType="begin"/>
        </w:r>
        <w:r w:rsidR="00B424F3">
          <w:rPr>
            <w:noProof/>
            <w:webHidden/>
          </w:rPr>
          <w:instrText xml:space="preserve"> PAGEREF _Toc386811753 \h </w:instrText>
        </w:r>
        <w:r w:rsidR="00B424F3">
          <w:rPr>
            <w:noProof/>
            <w:webHidden/>
          </w:rPr>
        </w:r>
        <w:r w:rsidR="00B424F3">
          <w:rPr>
            <w:noProof/>
            <w:webHidden/>
          </w:rPr>
          <w:fldChar w:fldCharType="separate"/>
        </w:r>
        <w:r w:rsidR="00B424F3">
          <w:rPr>
            <w:noProof/>
            <w:webHidden/>
          </w:rPr>
          <w:t>12</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54" w:history="1">
        <w:r w:rsidR="00B424F3" w:rsidRPr="00BF4C67">
          <w:rPr>
            <w:rStyle w:val="Hyperlink"/>
            <w:noProof/>
          </w:rPr>
          <w:t>Table 14 DEER 2014 Peak Demand Periods</w:t>
        </w:r>
        <w:r w:rsidR="00B424F3">
          <w:rPr>
            <w:noProof/>
            <w:webHidden/>
          </w:rPr>
          <w:tab/>
        </w:r>
        <w:r w:rsidR="00B424F3">
          <w:rPr>
            <w:noProof/>
            <w:webHidden/>
          </w:rPr>
          <w:fldChar w:fldCharType="begin"/>
        </w:r>
        <w:r w:rsidR="00B424F3">
          <w:rPr>
            <w:noProof/>
            <w:webHidden/>
          </w:rPr>
          <w:instrText xml:space="preserve"> PAGEREF _Toc386811754 \h </w:instrText>
        </w:r>
        <w:r w:rsidR="00B424F3">
          <w:rPr>
            <w:noProof/>
            <w:webHidden/>
          </w:rPr>
        </w:r>
        <w:r w:rsidR="00B424F3">
          <w:rPr>
            <w:noProof/>
            <w:webHidden/>
          </w:rPr>
          <w:fldChar w:fldCharType="separate"/>
        </w:r>
        <w:r w:rsidR="00B424F3">
          <w:rPr>
            <w:noProof/>
            <w:webHidden/>
          </w:rPr>
          <w:t>12</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55" w:history="1">
        <w:r w:rsidR="00B424F3" w:rsidRPr="00BF4C67">
          <w:rPr>
            <w:rStyle w:val="Hyperlink"/>
            <w:noProof/>
          </w:rPr>
          <w:t>Table 15 Asm cz11 v85 AC with Gas Heat Demand and Cooling Capacity Data</w:t>
        </w:r>
        <w:r w:rsidR="00B424F3">
          <w:rPr>
            <w:noProof/>
            <w:webHidden/>
          </w:rPr>
          <w:tab/>
        </w:r>
        <w:r w:rsidR="00B424F3">
          <w:rPr>
            <w:noProof/>
            <w:webHidden/>
          </w:rPr>
          <w:fldChar w:fldCharType="begin"/>
        </w:r>
        <w:r w:rsidR="00B424F3">
          <w:rPr>
            <w:noProof/>
            <w:webHidden/>
          </w:rPr>
          <w:instrText xml:space="preserve"> PAGEREF _Toc386811755 \h </w:instrText>
        </w:r>
        <w:r w:rsidR="00B424F3">
          <w:rPr>
            <w:noProof/>
            <w:webHidden/>
          </w:rPr>
        </w:r>
        <w:r w:rsidR="00B424F3">
          <w:rPr>
            <w:noProof/>
            <w:webHidden/>
          </w:rPr>
          <w:fldChar w:fldCharType="separate"/>
        </w:r>
        <w:r w:rsidR="00B424F3">
          <w:rPr>
            <w:noProof/>
            <w:webHidden/>
          </w:rPr>
          <w:t>13</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56" w:history="1">
        <w:r w:rsidR="00B424F3" w:rsidRPr="00BF4C67">
          <w:rPr>
            <w:rStyle w:val="Hyperlink"/>
            <w:noProof/>
          </w:rPr>
          <w:t>Table 16 Asm cz11 v85 AC with Gas Heat Gas Energy Use and Cooling Capacity Data</w:t>
        </w:r>
        <w:r w:rsidR="00B424F3">
          <w:rPr>
            <w:noProof/>
            <w:webHidden/>
          </w:rPr>
          <w:tab/>
        </w:r>
        <w:r w:rsidR="00B424F3">
          <w:rPr>
            <w:noProof/>
            <w:webHidden/>
          </w:rPr>
          <w:fldChar w:fldCharType="begin"/>
        </w:r>
        <w:r w:rsidR="00B424F3">
          <w:rPr>
            <w:noProof/>
            <w:webHidden/>
          </w:rPr>
          <w:instrText xml:space="preserve"> PAGEREF _Toc386811756 \h </w:instrText>
        </w:r>
        <w:r w:rsidR="00B424F3">
          <w:rPr>
            <w:noProof/>
            <w:webHidden/>
          </w:rPr>
        </w:r>
        <w:r w:rsidR="00B424F3">
          <w:rPr>
            <w:noProof/>
            <w:webHidden/>
          </w:rPr>
          <w:fldChar w:fldCharType="separate"/>
        </w:r>
        <w:r w:rsidR="00B424F3">
          <w:rPr>
            <w:noProof/>
            <w:webHidden/>
          </w:rPr>
          <w:t>14</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57" w:history="1">
        <w:r w:rsidR="00B424F3" w:rsidRPr="00BF4C67">
          <w:rPr>
            <w:rStyle w:val="Hyperlink"/>
            <w:noProof/>
          </w:rPr>
          <w:t>Table 17 Sample Vintage Weights for PG&amp;E Asm CZ11</w:t>
        </w:r>
        <w:r w:rsidR="00B424F3">
          <w:rPr>
            <w:noProof/>
            <w:webHidden/>
          </w:rPr>
          <w:tab/>
        </w:r>
        <w:r w:rsidR="00B424F3">
          <w:rPr>
            <w:noProof/>
            <w:webHidden/>
          </w:rPr>
          <w:fldChar w:fldCharType="begin"/>
        </w:r>
        <w:r w:rsidR="00B424F3">
          <w:rPr>
            <w:noProof/>
            <w:webHidden/>
          </w:rPr>
          <w:instrText xml:space="preserve"> PAGEREF _Toc386811757 \h </w:instrText>
        </w:r>
        <w:r w:rsidR="00B424F3">
          <w:rPr>
            <w:noProof/>
            <w:webHidden/>
          </w:rPr>
        </w:r>
        <w:r w:rsidR="00B424F3">
          <w:rPr>
            <w:noProof/>
            <w:webHidden/>
          </w:rPr>
          <w:fldChar w:fldCharType="separate"/>
        </w:r>
        <w:r w:rsidR="00B424F3">
          <w:rPr>
            <w:noProof/>
            <w:webHidden/>
          </w:rPr>
          <w:t>15</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58" w:history="1">
        <w:r w:rsidR="00B424F3" w:rsidRPr="00BF4C67">
          <w:rPr>
            <w:rStyle w:val="Hyperlink"/>
            <w:noProof/>
          </w:rPr>
          <w:t>T</w:t>
        </w:r>
        <w:r w:rsidR="00B424F3" w:rsidRPr="00BF4C67">
          <w:rPr>
            <w:rStyle w:val="Hyperlink"/>
            <w:rFonts w:eastAsia="Calibri"/>
            <w:noProof/>
          </w:rPr>
          <w:t>able 18 Building Types and Load Shapes</w:t>
        </w:r>
        <w:r w:rsidR="00B424F3">
          <w:rPr>
            <w:noProof/>
            <w:webHidden/>
          </w:rPr>
          <w:tab/>
        </w:r>
        <w:r w:rsidR="00B424F3">
          <w:rPr>
            <w:noProof/>
            <w:webHidden/>
          </w:rPr>
          <w:fldChar w:fldCharType="begin"/>
        </w:r>
        <w:r w:rsidR="00B424F3">
          <w:rPr>
            <w:noProof/>
            <w:webHidden/>
          </w:rPr>
          <w:instrText xml:space="preserve"> PAGEREF _Toc386811758 \h </w:instrText>
        </w:r>
        <w:r w:rsidR="00B424F3">
          <w:rPr>
            <w:noProof/>
            <w:webHidden/>
          </w:rPr>
        </w:r>
        <w:r w:rsidR="00B424F3">
          <w:rPr>
            <w:noProof/>
            <w:webHidden/>
          </w:rPr>
          <w:fldChar w:fldCharType="separate"/>
        </w:r>
        <w:r w:rsidR="00B424F3">
          <w:rPr>
            <w:noProof/>
            <w:webHidden/>
          </w:rPr>
          <w:t>15</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59" w:history="1">
        <w:r w:rsidR="00B424F3" w:rsidRPr="00BF4C67">
          <w:rPr>
            <w:rStyle w:val="Hyperlink"/>
            <w:noProof/>
          </w:rPr>
          <w:t>Table 19 Measure Cost Data</w:t>
        </w:r>
        <w:r w:rsidR="00B424F3">
          <w:rPr>
            <w:noProof/>
            <w:webHidden/>
          </w:rPr>
          <w:tab/>
        </w:r>
        <w:r w:rsidR="00B424F3">
          <w:rPr>
            <w:noProof/>
            <w:webHidden/>
          </w:rPr>
          <w:fldChar w:fldCharType="begin"/>
        </w:r>
        <w:r w:rsidR="00B424F3">
          <w:rPr>
            <w:noProof/>
            <w:webHidden/>
          </w:rPr>
          <w:instrText xml:space="preserve"> PAGEREF _Toc386811759 \h </w:instrText>
        </w:r>
        <w:r w:rsidR="00B424F3">
          <w:rPr>
            <w:noProof/>
            <w:webHidden/>
          </w:rPr>
        </w:r>
        <w:r w:rsidR="00B424F3">
          <w:rPr>
            <w:noProof/>
            <w:webHidden/>
          </w:rPr>
          <w:fldChar w:fldCharType="separate"/>
        </w:r>
        <w:r w:rsidR="00B424F3">
          <w:rPr>
            <w:noProof/>
            <w:webHidden/>
          </w:rPr>
          <w:t>16</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60" w:history="1">
        <w:r w:rsidR="00B424F3" w:rsidRPr="00BF4C67">
          <w:rPr>
            <w:rStyle w:val="Hyperlink"/>
            <w:noProof/>
          </w:rPr>
          <w:t>Table 20 Incremental &amp; Full Measure Costs</w:t>
        </w:r>
        <w:r w:rsidR="00B424F3">
          <w:rPr>
            <w:noProof/>
            <w:webHidden/>
          </w:rPr>
          <w:tab/>
        </w:r>
        <w:r w:rsidR="00B424F3">
          <w:rPr>
            <w:noProof/>
            <w:webHidden/>
          </w:rPr>
          <w:fldChar w:fldCharType="begin"/>
        </w:r>
        <w:r w:rsidR="00B424F3">
          <w:rPr>
            <w:noProof/>
            <w:webHidden/>
          </w:rPr>
          <w:instrText xml:space="preserve"> PAGEREF _Toc386811760 \h </w:instrText>
        </w:r>
        <w:r w:rsidR="00B424F3">
          <w:rPr>
            <w:noProof/>
            <w:webHidden/>
          </w:rPr>
        </w:r>
        <w:r w:rsidR="00B424F3">
          <w:rPr>
            <w:noProof/>
            <w:webHidden/>
          </w:rPr>
          <w:fldChar w:fldCharType="separate"/>
        </w:r>
        <w:r w:rsidR="00B424F3">
          <w:rPr>
            <w:noProof/>
            <w:webHidden/>
          </w:rPr>
          <w:t>17</w:t>
        </w:r>
        <w:r w:rsidR="00B424F3">
          <w:rPr>
            <w:noProof/>
            <w:webHidden/>
          </w:rPr>
          <w:fldChar w:fldCharType="end"/>
        </w:r>
      </w:hyperlink>
    </w:p>
    <w:p w:rsidR="00B424F3" w:rsidRDefault="00FF41C5">
      <w:pPr>
        <w:pStyle w:val="TableofFigures"/>
        <w:tabs>
          <w:tab w:val="right" w:leader="dot" w:pos="9350"/>
        </w:tabs>
        <w:rPr>
          <w:rFonts w:asciiTheme="minorHAnsi" w:eastAsiaTheme="minorEastAsia" w:hAnsiTheme="minorHAnsi" w:cstheme="minorBidi"/>
          <w:noProof/>
          <w:szCs w:val="22"/>
        </w:rPr>
      </w:pPr>
      <w:hyperlink w:anchor="_Toc386811761" w:history="1">
        <w:r w:rsidR="00B424F3" w:rsidRPr="00BF4C67">
          <w:rPr>
            <w:rStyle w:val="Hyperlink"/>
            <w:noProof/>
          </w:rPr>
          <w:t>Table 21 Summary Table for Section 4</w:t>
        </w:r>
        <w:r w:rsidR="00B424F3">
          <w:rPr>
            <w:noProof/>
            <w:webHidden/>
          </w:rPr>
          <w:tab/>
        </w:r>
        <w:r w:rsidR="00B424F3">
          <w:rPr>
            <w:noProof/>
            <w:webHidden/>
          </w:rPr>
          <w:fldChar w:fldCharType="begin"/>
        </w:r>
        <w:r w:rsidR="00B424F3">
          <w:rPr>
            <w:noProof/>
            <w:webHidden/>
          </w:rPr>
          <w:instrText xml:space="preserve"> PAGEREF _Toc386811761 \h </w:instrText>
        </w:r>
        <w:r w:rsidR="00B424F3">
          <w:rPr>
            <w:noProof/>
            <w:webHidden/>
          </w:rPr>
        </w:r>
        <w:r w:rsidR="00B424F3">
          <w:rPr>
            <w:noProof/>
            <w:webHidden/>
          </w:rPr>
          <w:fldChar w:fldCharType="separate"/>
        </w:r>
        <w:r w:rsidR="00B424F3">
          <w:rPr>
            <w:noProof/>
            <w:webHidden/>
          </w:rPr>
          <w:t>18</w:t>
        </w:r>
        <w:r w:rsidR="00B424F3">
          <w:rPr>
            <w:noProof/>
            <w:webHidden/>
          </w:rPr>
          <w:fldChar w:fldCharType="end"/>
        </w:r>
      </w:hyperlink>
    </w:p>
    <w:p w:rsidR="005A1F9D" w:rsidRPr="00DD3825" w:rsidRDefault="00ED21EE" w:rsidP="005A1F9D">
      <w:r w:rsidRPr="00DD3825">
        <w:fldChar w:fldCharType="end"/>
      </w:r>
      <w:r w:rsidR="005A1F9D" w:rsidRPr="00DD3825">
        <w:t xml:space="preserve"> </w:t>
      </w:r>
    </w:p>
    <w:p w:rsidR="005A1F9D" w:rsidRPr="00DD3825" w:rsidRDefault="005A1F9D" w:rsidP="005A1F9D">
      <w:pPr>
        <w:pStyle w:val="Heading1"/>
      </w:pPr>
      <w:bookmarkStart w:id="23" w:name="_Toc174179832"/>
      <w:bookmarkStart w:id="24" w:name="_Toc174181292"/>
      <w:bookmarkStart w:id="25" w:name="_Toc304800200"/>
      <w:bookmarkStart w:id="26" w:name="_Toc324318336"/>
      <w:bookmarkStart w:id="27" w:name="_Toc324340480"/>
      <w:bookmarkStart w:id="28" w:name="_Toc386811707"/>
      <w:r w:rsidRPr="00DD3825">
        <w:t>List of Figures</w:t>
      </w:r>
      <w:bookmarkEnd w:id="23"/>
      <w:bookmarkEnd w:id="24"/>
      <w:bookmarkEnd w:id="25"/>
      <w:bookmarkEnd w:id="26"/>
      <w:bookmarkEnd w:id="27"/>
      <w:bookmarkEnd w:id="28"/>
    </w:p>
    <w:p w:rsidR="00B424F3" w:rsidRDefault="00BC7447">
      <w:pPr>
        <w:pStyle w:val="TableofFigures"/>
        <w:tabs>
          <w:tab w:val="right" w:leader="dot" w:pos="9350"/>
        </w:tabs>
        <w:rPr>
          <w:rFonts w:asciiTheme="minorHAnsi" w:eastAsiaTheme="minorEastAsia" w:hAnsiTheme="minorHAnsi" w:cstheme="minorBidi"/>
          <w:noProof/>
          <w:szCs w:val="22"/>
        </w:rPr>
      </w:pPr>
      <w:r w:rsidRPr="00DD3825">
        <w:fldChar w:fldCharType="begin"/>
      </w:r>
      <w:r w:rsidRPr="00DD3825">
        <w:instrText xml:space="preserve"> TOC \h \z \c "Figure" </w:instrText>
      </w:r>
      <w:r w:rsidRPr="00DD3825">
        <w:fldChar w:fldCharType="separate"/>
      </w:r>
      <w:hyperlink w:anchor="_Toc386811762" w:history="1">
        <w:r w:rsidR="00B424F3" w:rsidRPr="001435C8">
          <w:rPr>
            <w:rStyle w:val="Hyperlink"/>
            <w:noProof/>
          </w:rPr>
          <w:t>Figure 1 DEER Asm Prototype with DCV Zone Outlined</w:t>
        </w:r>
        <w:r w:rsidR="00B424F3">
          <w:rPr>
            <w:noProof/>
            <w:webHidden/>
          </w:rPr>
          <w:tab/>
        </w:r>
        <w:r w:rsidR="00B424F3">
          <w:rPr>
            <w:noProof/>
            <w:webHidden/>
          </w:rPr>
          <w:fldChar w:fldCharType="begin"/>
        </w:r>
        <w:r w:rsidR="00B424F3">
          <w:rPr>
            <w:noProof/>
            <w:webHidden/>
          </w:rPr>
          <w:instrText xml:space="preserve"> PAGEREF _Toc386811762 \h </w:instrText>
        </w:r>
        <w:r w:rsidR="00B424F3">
          <w:rPr>
            <w:noProof/>
            <w:webHidden/>
          </w:rPr>
        </w:r>
        <w:r w:rsidR="00B424F3">
          <w:rPr>
            <w:noProof/>
            <w:webHidden/>
          </w:rPr>
          <w:fldChar w:fldCharType="separate"/>
        </w:r>
        <w:r w:rsidR="00B424F3">
          <w:rPr>
            <w:noProof/>
            <w:webHidden/>
          </w:rPr>
          <w:t>12</w:t>
        </w:r>
        <w:r w:rsidR="00B424F3">
          <w:rPr>
            <w:noProof/>
            <w:webHidden/>
          </w:rPr>
          <w:fldChar w:fldCharType="end"/>
        </w:r>
      </w:hyperlink>
    </w:p>
    <w:p w:rsidR="005A1F9D" w:rsidRPr="00DD3825" w:rsidRDefault="00BC7447" w:rsidP="005A1F9D">
      <w:r w:rsidRPr="00DD3825">
        <w:rPr>
          <w:b/>
          <w:bCs/>
          <w:noProof/>
        </w:rPr>
        <w:fldChar w:fldCharType="end"/>
      </w:r>
    </w:p>
    <w:p w:rsidR="00056348" w:rsidRPr="00DD3825" w:rsidRDefault="00056348" w:rsidP="00ED21EE">
      <w:pPr>
        <w:pStyle w:val="Heading1"/>
        <w:sectPr w:rsidR="00056348" w:rsidRPr="00DD3825" w:rsidSect="007002F0">
          <w:endnotePr>
            <w:numFmt w:val="decimal"/>
          </w:endnotePr>
          <w:pgSz w:w="12240" w:h="15840"/>
          <w:pgMar w:top="1440" w:right="1440" w:bottom="1440" w:left="1440" w:header="720" w:footer="720" w:gutter="0"/>
          <w:pgNumType w:fmt="lowerRoman"/>
          <w:cols w:space="720"/>
          <w:docGrid w:linePitch="360"/>
        </w:sectPr>
      </w:pPr>
      <w:bookmarkStart w:id="29" w:name="_Toc304800201"/>
      <w:bookmarkStart w:id="30" w:name="_Toc324318337"/>
      <w:bookmarkStart w:id="31" w:name="_Toc324340481"/>
      <w:bookmarkStart w:id="32" w:name="_Toc172205732"/>
    </w:p>
    <w:p w:rsidR="00ED21EE" w:rsidRPr="00DD3825" w:rsidRDefault="00ED21EE" w:rsidP="00ED21EE">
      <w:pPr>
        <w:pStyle w:val="Heading1"/>
      </w:pPr>
      <w:bookmarkStart w:id="33" w:name="_Toc386811708"/>
      <w:r w:rsidRPr="00DD3825">
        <w:lastRenderedPageBreak/>
        <w:t>Section 1. General Measure &amp; Baseline Data</w:t>
      </w:r>
      <w:bookmarkEnd w:id="29"/>
      <w:bookmarkEnd w:id="30"/>
      <w:bookmarkEnd w:id="31"/>
      <w:bookmarkEnd w:id="33"/>
    </w:p>
    <w:p w:rsidR="00E71EF1" w:rsidRPr="00DD3825" w:rsidRDefault="001248A3" w:rsidP="001248A3">
      <w:pPr>
        <w:pStyle w:val="Heading2"/>
      </w:pPr>
      <w:bookmarkStart w:id="34" w:name="_Toc304800202"/>
      <w:bookmarkStart w:id="35" w:name="_Toc324318338"/>
      <w:bookmarkStart w:id="36" w:name="_Toc324340482"/>
      <w:bookmarkStart w:id="37" w:name="_Toc386811709"/>
      <w:bookmarkEnd w:id="32"/>
      <w:r w:rsidRPr="00DD3825">
        <w:t xml:space="preserve">1.1 </w:t>
      </w:r>
      <w:r w:rsidR="008C6AD1" w:rsidRPr="00DD3825">
        <w:t xml:space="preserve">Product </w:t>
      </w:r>
      <w:r w:rsidR="00E71EF1" w:rsidRPr="00DD3825">
        <w:t>Measure Description &amp; Background</w:t>
      </w:r>
      <w:bookmarkEnd w:id="34"/>
      <w:bookmarkEnd w:id="35"/>
      <w:bookmarkEnd w:id="36"/>
      <w:bookmarkEnd w:id="37"/>
    </w:p>
    <w:p w:rsidR="00521920" w:rsidRPr="00DD3825" w:rsidRDefault="00521920" w:rsidP="00076355">
      <w:pPr>
        <w:rPr>
          <w:rFonts w:cs="Arial"/>
          <w:b/>
          <w:i/>
          <w:sz w:val="20"/>
          <w:szCs w:val="20"/>
        </w:rPr>
      </w:pPr>
      <w:r w:rsidRPr="00DD3825">
        <w:rPr>
          <w:rFonts w:cs="Arial"/>
          <w:b/>
          <w:i/>
        </w:rPr>
        <w:t>Catalog Description</w:t>
      </w:r>
      <w:r w:rsidR="00E840FE" w:rsidRPr="00DD3825">
        <w:rPr>
          <w:rFonts w:cs="Arial"/>
          <w:b/>
          <w:i/>
        </w:rPr>
        <w:t xml:space="preserve"> – </w:t>
      </w:r>
    </w:p>
    <w:p w:rsidR="00C463DA" w:rsidRPr="00DD3825" w:rsidRDefault="00C463DA" w:rsidP="0052062E">
      <w:r w:rsidRPr="00DD3825">
        <w:t>Add Demand Controlled Ventilation (DCV) to an existing packaged</w:t>
      </w:r>
      <w:r w:rsidR="00FA2AE9" w:rsidRPr="00DD3825">
        <w:t xml:space="preserve"> single zone direct expansion (DX) HVAC</w:t>
      </w:r>
      <w:r w:rsidRPr="00DD3825">
        <w:t xml:space="preserve"> unit</w:t>
      </w:r>
      <w:r w:rsidR="00FA2AE9" w:rsidRPr="00DD3825">
        <w:t xml:space="preserve"> with an economizer</w:t>
      </w:r>
      <w:r w:rsidRPr="00DD3825">
        <w:t xml:space="preserve">. </w:t>
      </w:r>
      <w:r w:rsidR="00FA2AE9" w:rsidRPr="00DD3825">
        <w:t xml:space="preserve">The specific DCV application uses a </w:t>
      </w:r>
      <w:r w:rsidR="002524FD" w:rsidRPr="00DD3825">
        <w:t>carbon dioxide (</w:t>
      </w:r>
      <w:r w:rsidR="00FA2AE9" w:rsidRPr="00DD3825">
        <w:t>CO2</w:t>
      </w:r>
      <w:r w:rsidR="002524FD" w:rsidRPr="00DD3825">
        <w:t>)</w:t>
      </w:r>
      <w:r w:rsidR="00FA2AE9" w:rsidRPr="00DD3825">
        <w:t xml:space="preserve"> sensor</w:t>
      </w:r>
      <w:r w:rsidR="00F71421" w:rsidRPr="00DD3825">
        <w:t xml:space="preserve"> to</w:t>
      </w:r>
      <w:r w:rsidR="00FA2AE9" w:rsidRPr="00DD3825">
        <w:t xml:space="preserve"> inform economizer outside air damper position. </w:t>
      </w:r>
      <w:r w:rsidR="00DD3825" w:rsidRPr="00DD3825">
        <w:t>HV026</w:t>
      </w:r>
      <w:r w:rsidR="00884D6C" w:rsidRPr="00DD3825">
        <w:t xml:space="preserve">, </w:t>
      </w:r>
      <w:r w:rsidR="00DD3825" w:rsidRPr="00DD3825">
        <w:t>HV02</w:t>
      </w:r>
      <w:r w:rsidR="00DD3825">
        <w:t>8</w:t>
      </w:r>
      <w:r w:rsidR="00884D6C" w:rsidRPr="00DD3825">
        <w:t xml:space="preserve">, and </w:t>
      </w:r>
      <w:r w:rsidR="00DD3825" w:rsidRPr="00DD3825">
        <w:t>HV0</w:t>
      </w:r>
      <w:r w:rsidR="00DD3825">
        <w:t>30</w:t>
      </w:r>
      <w:r w:rsidR="00F724AC" w:rsidRPr="00DD3825">
        <w:t xml:space="preserve"> are</w:t>
      </w:r>
      <w:r w:rsidRPr="00DD3825">
        <w:t xml:space="preserve"> for adding an Advanced Digital Economizer Controller (ADEC) with DCV capability</w:t>
      </w:r>
      <w:r w:rsidR="00FA2AE9" w:rsidRPr="00DD3825">
        <w:t xml:space="preserve"> as well as a CO2 sensor. </w:t>
      </w:r>
      <w:r w:rsidR="00DD3825" w:rsidRPr="00DD3825">
        <w:t>HV02</w:t>
      </w:r>
      <w:r w:rsidR="00DD3825">
        <w:t>7</w:t>
      </w:r>
      <w:r w:rsidR="00884D6C" w:rsidRPr="00DD3825">
        <w:t xml:space="preserve">, </w:t>
      </w:r>
      <w:r w:rsidR="00DD3825" w:rsidRPr="00DD3825">
        <w:t>HV0</w:t>
      </w:r>
      <w:r w:rsidR="00DD3825">
        <w:t>29</w:t>
      </w:r>
      <w:r w:rsidR="00884D6C" w:rsidRPr="00DD3825">
        <w:t xml:space="preserve">, and </w:t>
      </w:r>
      <w:r w:rsidR="00DD3825" w:rsidRPr="00DD3825">
        <w:t>HV031</w:t>
      </w:r>
      <w:r w:rsidR="00F724AC" w:rsidRPr="00DD3825">
        <w:t xml:space="preserve"> are</w:t>
      </w:r>
      <w:r w:rsidR="00FA2AE9" w:rsidRPr="00DD3825">
        <w:t xml:space="preserve"> for adding a CO2 sensor only assuming a DCV-enabling digital controller is already installed. </w:t>
      </w:r>
      <w:r w:rsidR="00F724AC" w:rsidRPr="00DD3825">
        <w:t>The three measure codes for each case distinguish between cooling units with gas heat, cooling only units, and heat pumps, respectively.</w:t>
      </w:r>
      <w:r w:rsidR="00DA1A0B" w:rsidRPr="00DD3825">
        <w:t xml:space="preserve"> The ADEC must have the capability to control the damper in response to a CO2 sensor signal.</w:t>
      </w:r>
    </w:p>
    <w:p w:rsidR="00D3279E" w:rsidRPr="00DD3825" w:rsidRDefault="00D3279E" w:rsidP="0052062E"/>
    <w:p w:rsidR="00D3279E" w:rsidRPr="00DD3825" w:rsidRDefault="00D3279E" w:rsidP="00B57F5C">
      <w:r w:rsidRPr="00DD3825">
        <w:t>The rebate is downstream provided to the contractor</w:t>
      </w:r>
      <w:r w:rsidR="00B57F5C" w:rsidRPr="00DD3825">
        <w:t xml:space="preserve"> </w:t>
      </w:r>
      <w:r w:rsidRPr="00DD3825">
        <w:t xml:space="preserve">at the time of installation upon receipt of application and invoice.  This is a Direct </w:t>
      </w:r>
      <w:r w:rsidR="00B57F5C" w:rsidRPr="00DD3825">
        <w:t>I</w:t>
      </w:r>
      <w:r w:rsidRPr="00DD3825">
        <w:t>nstall program.</w:t>
      </w:r>
    </w:p>
    <w:p w:rsidR="00C463DA" w:rsidRPr="00DD3825" w:rsidRDefault="00C463DA" w:rsidP="00872913">
      <w:pPr>
        <w:rPr>
          <w:rFonts w:cs="Arial"/>
          <w:sz w:val="20"/>
          <w:szCs w:val="20"/>
        </w:rPr>
      </w:pPr>
    </w:p>
    <w:p w:rsidR="00521920" w:rsidRPr="00DD3825" w:rsidRDefault="00521920" w:rsidP="00872913">
      <w:pPr>
        <w:rPr>
          <w:rFonts w:cs="Arial"/>
          <w:b/>
          <w:i/>
        </w:rPr>
      </w:pPr>
      <w:r w:rsidRPr="00DD3825">
        <w:rPr>
          <w:rFonts w:cs="Arial"/>
          <w:b/>
          <w:i/>
        </w:rPr>
        <w:t>Program Restrictions and Guidelines</w:t>
      </w:r>
    </w:p>
    <w:p w:rsidR="003B350C" w:rsidRPr="00DD3825" w:rsidRDefault="002524FD" w:rsidP="00A70B62">
      <w:r w:rsidRPr="00DD3825">
        <w:t>The target market for DCV is</w:t>
      </w:r>
      <w:r w:rsidR="00884D6C" w:rsidRPr="00DD3825">
        <w:t xml:space="preserve"> spaces in</w:t>
      </w:r>
      <w:r w:rsidRPr="00DD3825">
        <w:t xml:space="preserve"> </w:t>
      </w:r>
      <w:r w:rsidR="004F31B8" w:rsidRPr="00DD3825">
        <w:t xml:space="preserve">commercial buildings served by packaged single zone DX HVAC units, sometimes referred to as rooftop units (RTU) and split systems. </w:t>
      </w:r>
    </w:p>
    <w:p w:rsidR="004F31B8" w:rsidRDefault="00DC31B8" w:rsidP="0052062E">
      <w:r w:rsidRPr="00DD3825">
        <w:t xml:space="preserve">This control upgrade for existing units is an </w:t>
      </w:r>
      <w:r w:rsidR="00710BAA">
        <w:t>Retrofit Add-on</w:t>
      </w:r>
      <w:r w:rsidRPr="00DD3825">
        <w:t xml:space="preserve"> </w:t>
      </w:r>
      <w:r w:rsidR="00251781" w:rsidRPr="00DD3825">
        <w:t>(</w:t>
      </w:r>
      <w:r w:rsidR="00710BAA">
        <w:t>REA</w:t>
      </w:r>
      <w:r w:rsidR="00251781" w:rsidRPr="00DD3825">
        <w:t xml:space="preserve">) </w:t>
      </w:r>
      <w:r w:rsidRPr="00DD3825">
        <w:t>appli</w:t>
      </w:r>
      <w:r w:rsidR="00251781" w:rsidRPr="00DD3825">
        <w:t xml:space="preserve">cation, meaning </w:t>
      </w:r>
      <w:r w:rsidR="00DF2A16" w:rsidRPr="00DD3825">
        <w:t>Unit Energy Savings (</w:t>
      </w:r>
      <w:r w:rsidR="00251781" w:rsidRPr="00DD3825">
        <w:t>UES</w:t>
      </w:r>
      <w:r w:rsidR="00DF2A16" w:rsidRPr="00DD3825">
        <w:t>)</w:t>
      </w:r>
      <w:r w:rsidR="00251781" w:rsidRPr="00DD3825">
        <w:t xml:space="preserve"> values provided are for an existing system without DCV as the baseline. </w:t>
      </w:r>
      <w:r w:rsidR="00183BE0" w:rsidRPr="00DD3825">
        <w:t>There are no above-code savings reported as Title 24 2013 §120.1</w:t>
      </w:r>
      <w:r w:rsidR="00183BE0" w:rsidRPr="00DD3825">
        <w:fldChar w:fldCharType="begin"/>
      </w:r>
      <w:r w:rsidR="00183BE0" w:rsidRPr="00DD3825">
        <w:instrText xml:space="preserve"> NOTEREF _Ref384193100 \f \h </w:instrText>
      </w:r>
      <w:r w:rsidR="00DD3825">
        <w:instrText xml:space="preserve"> \* MERGEFORMAT </w:instrText>
      </w:r>
      <w:r w:rsidR="00183BE0" w:rsidRPr="00DD3825">
        <w:fldChar w:fldCharType="separate"/>
      </w:r>
      <w:r w:rsidR="00B424F3" w:rsidRPr="00B424F3">
        <w:rPr>
          <w:rStyle w:val="EndnoteReference"/>
        </w:rPr>
        <w:t>1</w:t>
      </w:r>
      <w:r w:rsidR="00183BE0" w:rsidRPr="00DD3825">
        <w:fldChar w:fldCharType="end"/>
      </w:r>
      <w:r w:rsidR="00183BE0" w:rsidRPr="00DD3825">
        <w:t xml:space="preserve"> requires DCV in </w:t>
      </w:r>
      <w:r w:rsidR="00837E21" w:rsidRPr="00DD3825">
        <w:t>most</w:t>
      </w:r>
      <w:r w:rsidR="00183BE0" w:rsidRPr="00DD3825">
        <w:t xml:space="preserve"> of the building type</w:t>
      </w:r>
      <w:r w:rsidR="00306662" w:rsidRPr="00DD3825">
        <w:t>s</w:t>
      </w:r>
      <w:r w:rsidR="00183BE0" w:rsidRPr="00DD3825">
        <w:t xml:space="preserve"> and activity area types considered. </w:t>
      </w:r>
      <w:r w:rsidR="00251781" w:rsidRPr="00DD3825">
        <w:t xml:space="preserve">The UES values are not appropriate for Replace on Burnout (ROB) or New Construction (NC) applications. </w:t>
      </w:r>
    </w:p>
    <w:p w:rsidR="00710BAA" w:rsidRDefault="00710BAA" w:rsidP="0052062E"/>
    <w:p w:rsidR="00710BAA" w:rsidRPr="00DD3825" w:rsidRDefault="00710BAA" w:rsidP="0052062E">
      <w:r>
        <w:t xml:space="preserve">The DVC measures described in this workpaper are available only for </w:t>
      </w:r>
      <w:r w:rsidR="00783C79">
        <w:t xml:space="preserve">below </w:t>
      </w:r>
      <w:r>
        <w:t xml:space="preserve">12 </w:t>
      </w:r>
      <w:r w:rsidR="00982A82">
        <w:t xml:space="preserve">DEER </w:t>
      </w:r>
      <w:r>
        <w:t>building types: Asm</w:t>
      </w:r>
      <w:r w:rsidR="00982A82">
        <w:t xml:space="preserve"> (Assembly)</w:t>
      </w:r>
      <w:r>
        <w:t>, EPr</w:t>
      </w:r>
      <w:r w:rsidR="00982A82">
        <w:t xml:space="preserve"> (Education – Primary</w:t>
      </w:r>
      <w:r w:rsidR="00783C79">
        <w:t xml:space="preserve"> School</w:t>
      </w:r>
      <w:r w:rsidR="00982A82">
        <w:t>)</w:t>
      </w:r>
      <w:r>
        <w:t>, ERC</w:t>
      </w:r>
      <w:r w:rsidR="00982A82">
        <w:t>(Education</w:t>
      </w:r>
      <w:r w:rsidR="00783C79">
        <w:t xml:space="preserve"> -</w:t>
      </w:r>
      <w:r w:rsidR="00982A82">
        <w:t xml:space="preserve"> Re</w:t>
      </w:r>
      <w:r w:rsidR="00783C79">
        <w:t>locatable Classroom</w:t>
      </w:r>
      <w:r w:rsidR="00982A82">
        <w:t>)</w:t>
      </w:r>
      <w:r>
        <w:t>, ESe</w:t>
      </w:r>
      <w:bookmarkStart w:id="38" w:name="_GoBack"/>
      <w:bookmarkEnd w:id="38"/>
      <w:r w:rsidR="00982A82">
        <w:t>(Education – Secondary</w:t>
      </w:r>
      <w:r w:rsidR="00783C79">
        <w:t xml:space="preserve"> School</w:t>
      </w:r>
      <w:r w:rsidR="00982A82">
        <w:t>)</w:t>
      </w:r>
      <w:r>
        <w:t>, EUn</w:t>
      </w:r>
      <w:r w:rsidR="00982A82">
        <w:t xml:space="preserve"> (Education – University)</w:t>
      </w:r>
      <w:r>
        <w:t>, MBT</w:t>
      </w:r>
      <w:r w:rsidR="00982A82">
        <w:t xml:space="preserve"> (Manufacturing</w:t>
      </w:r>
      <w:r w:rsidR="00783C79">
        <w:t xml:space="preserve"> Biotech</w:t>
      </w:r>
      <w:r w:rsidR="00982A82">
        <w:t>)</w:t>
      </w:r>
      <w:r>
        <w:t>,</w:t>
      </w:r>
      <w:r w:rsidR="00982A82">
        <w:t xml:space="preserve"> OfS (Office</w:t>
      </w:r>
      <w:r w:rsidR="00783C79">
        <w:t xml:space="preserve"> -</w:t>
      </w:r>
      <w:r w:rsidR="00982A82">
        <w:t xml:space="preserve"> Small), RFF (Restaurant – Fast Food), RSD (</w:t>
      </w:r>
      <w:r w:rsidR="00783C79">
        <w:t>Restaurant</w:t>
      </w:r>
      <w:r w:rsidR="00982A82">
        <w:t xml:space="preserve"> – S</w:t>
      </w:r>
      <w:r w:rsidR="00783C79">
        <w:t>it-Down</w:t>
      </w:r>
      <w:r w:rsidR="00982A82">
        <w:t>), Rt3 (Re</w:t>
      </w:r>
      <w:r w:rsidR="00783C79">
        <w:t>tail – Multistory Large</w:t>
      </w:r>
      <w:r w:rsidR="00982A82">
        <w:t xml:space="preserve"> ), RtL(Retail – S</w:t>
      </w:r>
      <w:r w:rsidR="00783C79">
        <w:t>ingle-Story Large</w:t>
      </w:r>
      <w:r w:rsidR="00982A82">
        <w:t xml:space="preserve">), RtS (Retail – Small). </w:t>
      </w:r>
      <w:r>
        <w:t xml:space="preserve"> </w:t>
      </w:r>
    </w:p>
    <w:p w:rsidR="00A32AE2" w:rsidRPr="00DD3825" w:rsidRDefault="00A32AE2" w:rsidP="00480BAD">
      <w:pPr>
        <w:ind w:left="360"/>
        <w:rPr>
          <w:rFonts w:cs="Arial"/>
          <w:b/>
          <w:i/>
          <w:sz w:val="20"/>
          <w:szCs w:val="20"/>
        </w:rPr>
      </w:pPr>
    </w:p>
    <w:p w:rsidR="00521920" w:rsidRPr="00DD3825" w:rsidRDefault="00521920" w:rsidP="00480BAD">
      <w:pPr>
        <w:ind w:left="360"/>
        <w:rPr>
          <w:rFonts w:cs="Arial"/>
          <w:b/>
          <w:i/>
          <w:sz w:val="20"/>
          <w:szCs w:val="20"/>
        </w:rPr>
      </w:pPr>
      <w:r w:rsidRPr="00DD3825">
        <w:rPr>
          <w:rFonts w:cs="Arial"/>
          <w:b/>
          <w:i/>
          <w:sz w:val="20"/>
          <w:szCs w:val="20"/>
        </w:rPr>
        <w:t>Terms and Conditions</w:t>
      </w:r>
      <w:r w:rsidR="003E7422" w:rsidRPr="00DD3825">
        <w:rPr>
          <w:rFonts w:cs="Arial"/>
          <w:b/>
          <w:i/>
          <w:sz w:val="20"/>
          <w:szCs w:val="20"/>
        </w:rPr>
        <w:t>:</w:t>
      </w:r>
      <w:r w:rsidR="00A562A6" w:rsidRPr="00DD3825">
        <w:rPr>
          <w:rFonts w:cs="Arial"/>
          <w:b/>
          <w:i/>
          <w:sz w:val="20"/>
          <w:szCs w:val="20"/>
        </w:rPr>
        <w:t xml:space="preserve"> </w:t>
      </w:r>
    </w:p>
    <w:p w:rsidR="00884D6C" w:rsidRPr="00DD3825" w:rsidRDefault="00884D6C" w:rsidP="00884D6C">
      <w:r w:rsidRPr="00DD3825">
        <w:t>The following eligibility requirements must be satisfied prior to application of the measure:</w:t>
      </w:r>
    </w:p>
    <w:p w:rsidR="00F724AC" w:rsidRPr="00DD3825" w:rsidRDefault="00F724AC" w:rsidP="004F31B8">
      <w:pPr>
        <w:pStyle w:val="ListParagraph"/>
        <w:numPr>
          <w:ilvl w:val="0"/>
          <w:numId w:val="21"/>
        </w:numPr>
      </w:pPr>
      <w:r w:rsidRPr="00DD3825">
        <w:t xml:space="preserve">Existing system </w:t>
      </w:r>
      <w:r w:rsidR="004F31B8" w:rsidRPr="00DD3825">
        <w:t>must be</w:t>
      </w:r>
      <w:r w:rsidRPr="00DD3825">
        <w:t xml:space="preserve"> packaged single zone DX cooling unit with gas heat [</w:t>
      </w:r>
      <w:r w:rsidR="00DD3825" w:rsidRPr="00DD3825">
        <w:t>HV026</w:t>
      </w:r>
      <w:r w:rsidR="00884D6C" w:rsidRPr="00DD3825">
        <w:t xml:space="preserve">, </w:t>
      </w:r>
      <w:r w:rsidR="00DD3825" w:rsidRPr="00DD3825">
        <w:t>HV02</w:t>
      </w:r>
      <w:r w:rsidR="00DD3825">
        <w:t>7</w:t>
      </w:r>
      <w:r w:rsidRPr="00DD3825">
        <w:t>], cooling only unit</w:t>
      </w:r>
      <w:r w:rsidR="004F31B8" w:rsidRPr="00DD3825">
        <w:t xml:space="preserve"> [</w:t>
      </w:r>
      <w:r w:rsidR="00DD3825" w:rsidRPr="00DD3825">
        <w:t>HV02</w:t>
      </w:r>
      <w:r w:rsidR="00DD3825">
        <w:t>8</w:t>
      </w:r>
      <w:r w:rsidR="00884D6C" w:rsidRPr="00DD3825">
        <w:t xml:space="preserve">, </w:t>
      </w:r>
      <w:r w:rsidR="00DD3825" w:rsidRPr="00DD3825">
        <w:t>HV0</w:t>
      </w:r>
      <w:r w:rsidR="00DD3825">
        <w:t>29</w:t>
      </w:r>
      <w:r w:rsidR="004F31B8" w:rsidRPr="00DD3825">
        <w:t>]</w:t>
      </w:r>
      <w:r w:rsidRPr="00DD3825">
        <w:t>, or heat pump</w:t>
      </w:r>
      <w:r w:rsidR="004F31B8" w:rsidRPr="00DD3825">
        <w:t xml:space="preserve"> [</w:t>
      </w:r>
      <w:r w:rsidR="00DD3825" w:rsidRPr="00DD3825">
        <w:t>HV0</w:t>
      </w:r>
      <w:r w:rsidR="00DD3825">
        <w:t>30</w:t>
      </w:r>
      <w:r w:rsidR="004F31B8" w:rsidRPr="00DD3825">
        <w:t xml:space="preserve">, </w:t>
      </w:r>
      <w:r w:rsidR="00DD3825" w:rsidRPr="00DD3825">
        <w:t>HV031</w:t>
      </w:r>
      <w:r w:rsidR="004F31B8" w:rsidRPr="00DD3825">
        <w:t>]</w:t>
      </w:r>
    </w:p>
    <w:p w:rsidR="004F31B8" w:rsidRPr="00DD3825" w:rsidRDefault="004F31B8" w:rsidP="004F31B8">
      <w:pPr>
        <w:pStyle w:val="ListParagraph"/>
        <w:numPr>
          <w:ilvl w:val="0"/>
          <w:numId w:val="21"/>
        </w:numPr>
      </w:pPr>
      <w:r w:rsidRPr="00DD3825">
        <w:t xml:space="preserve">Existing system must have an operable airside economizer installed, and economizer </w:t>
      </w:r>
      <w:r w:rsidR="000F55B1" w:rsidRPr="00DD3825">
        <w:t>high limit</w:t>
      </w:r>
      <w:r w:rsidRPr="00DD3825">
        <w:t xml:space="preserve"> must be optimized for the climate per Title 24 2013 Table 140.4-B</w:t>
      </w:r>
      <w:r w:rsidR="00F713F9" w:rsidRPr="00DD3825">
        <w:fldChar w:fldCharType="begin"/>
      </w:r>
      <w:r w:rsidR="00F713F9" w:rsidRPr="00DD3825">
        <w:instrText xml:space="preserve"> NOTEREF _Ref384193100 \f \h </w:instrText>
      </w:r>
      <w:r w:rsidR="00DD3825">
        <w:instrText xml:space="preserve"> \* MERGEFORMAT </w:instrText>
      </w:r>
      <w:r w:rsidR="00F713F9" w:rsidRPr="00DD3825">
        <w:fldChar w:fldCharType="separate"/>
      </w:r>
      <w:r w:rsidR="00B424F3" w:rsidRPr="00B424F3">
        <w:rPr>
          <w:rStyle w:val="EndnoteReference"/>
        </w:rPr>
        <w:t>1</w:t>
      </w:r>
      <w:r w:rsidR="00F713F9" w:rsidRPr="00DD3825">
        <w:fldChar w:fldCharType="end"/>
      </w:r>
      <w:r w:rsidR="000F55B1" w:rsidRPr="00DD3825">
        <w:t xml:space="preserve">, </w:t>
      </w:r>
      <w:r w:rsidR="005962E7" w:rsidRPr="00DD3825">
        <w:t>adapted</w:t>
      </w:r>
      <w:r w:rsidR="000F55B1" w:rsidRPr="00DD3825">
        <w:t xml:space="preserve"> below in </w:t>
      </w:r>
      <w:r w:rsidR="009F220F" w:rsidRPr="00DD3825">
        <w:fldChar w:fldCharType="begin"/>
      </w:r>
      <w:r w:rsidR="009F220F" w:rsidRPr="00DD3825">
        <w:instrText xml:space="preserve"> REF _Ref384196313 \h </w:instrText>
      </w:r>
      <w:r w:rsidR="00DD3825">
        <w:instrText xml:space="preserve"> \* MERGEFORMAT </w:instrText>
      </w:r>
      <w:r w:rsidR="009F220F" w:rsidRPr="00DD3825">
        <w:fldChar w:fldCharType="separate"/>
      </w:r>
      <w:r w:rsidR="00B424F3" w:rsidRPr="00DD3825">
        <w:t xml:space="preserve">Table </w:t>
      </w:r>
      <w:r w:rsidR="00B424F3">
        <w:rPr>
          <w:noProof/>
        </w:rPr>
        <w:t>1</w:t>
      </w:r>
      <w:r w:rsidR="009F220F" w:rsidRPr="00DD3825">
        <w:fldChar w:fldCharType="end"/>
      </w:r>
      <w:r w:rsidR="000F55B1" w:rsidRPr="00DD3825">
        <w:t xml:space="preserve"> for reference.</w:t>
      </w:r>
    </w:p>
    <w:p w:rsidR="004F31B8" w:rsidRPr="00DD3825" w:rsidRDefault="004F31B8" w:rsidP="004F31B8">
      <w:pPr>
        <w:pStyle w:val="ListParagraph"/>
        <w:numPr>
          <w:ilvl w:val="0"/>
          <w:numId w:val="21"/>
        </w:numPr>
      </w:pPr>
      <w:r w:rsidRPr="00DD3825">
        <w:t>Existing system must ventilate continuously during occupied hours</w:t>
      </w:r>
      <w:r w:rsidR="002E5472" w:rsidRPr="00DD3825">
        <w:t xml:space="preserve">, and may not have any other device </w:t>
      </w:r>
      <w:r w:rsidR="00123696" w:rsidRPr="00DD3825">
        <w:t xml:space="preserve">previously </w:t>
      </w:r>
      <w:r w:rsidR="002E5472" w:rsidRPr="00DD3825">
        <w:t xml:space="preserve">installed that is intended to </w:t>
      </w:r>
      <w:r w:rsidR="00123696" w:rsidRPr="00DD3825">
        <w:t xml:space="preserve">perform </w:t>
      </w:r>
      <w:r w:rsidR="002E5472" w:rsidRPr="00DD3825">
        <w:t>DCV</w:t>
      </w:r>
      <w:r w:rsidR="00123696" w:rsidRPr="00DD3825">
        <w:t xml:space="preserve"> such as an occupancy sensor that controls ventilation rate.</w:t>
      </w:r>
      <w:r w:rsidRPr="00DD3825">
        <w:t xml:space="preserve"> </w:t>
      </w:r>
    </w:p>
    <w:p w:rsidR="004F31B8" w:rsidRPr="00DD3825" w:rsidRDefault="004F31B8" w:rsidP="004F31B8">
      <w:pPr>
        <w:pStyle w:val="ListParagraph"/>
        <w:numPr>
          <w:ilvl w:val="0"/>
          <w:numId w:val="21"/>
        </w:numPr>
      </w:pPr>
      <w:r w:rsidRPr="00DD3825">
        <w:t xml:space="preserve">The measure </w:t>
      </w:r>
      <w:r w:rsidR="000F55B1" w:rsidRPr="00DD3825">
        <w:t>shall</w:t>
      </w:r>
      <w:r w:rsidRPr="00DD3825">
        <w:t xml:space="preserve"> only be applied where it will result in a reduction to the overall ventilation that is </w:t>
      </w:r>
      <w:r w:rsidR="00884D6C" w:rsidRPr="00DD3825">
        <w:t>supplied</w:t>
      </w:r>
      <w:r w:rsidRPr="00DD3825">
        <w:t xml:space="preserve"> for the space</w:t>
      </w:r>
      <w:r w:rsidR="00ED182F" w:rsidRPr="00DD3825">
        <w:t>.</w:t>
      </w:r>
    </w:p>
    <w:p w:rsidR="000F55B1" w:rsidRPr="00DD3825" w:rsidRDefault="000F55B1" w:rsidP="00884D6C"/>
    <w:p w:rsidR="00140B01" w:rsidRPr="00DD3825" w:rsidRDefault="00140B01" w:rsidP="00140B01">
      <w:pPr>
        <w:pStyle w:val="Caption"/>
        <w:keepNext/>
        <w:jc w:val="center"/>
      </w:pPr>
      <w:bookmarkStart w:id="39" w:name="_Ref384196313"/>
      <w:bookmarkStart w:id="40" w:name="_Toc386811741"/>
      <w:r w:rsidRPr="00DD3825">
        <w:t xml:space="preserve">Table </w:t>
      </w:r>
      <w:r w:rsidR="00FF41C5">
        <w:fldChar w:fldCharType="begin"/>
      </w:r>
      <w:r w:rsidR="00FF41C5">
        <w:instrText xml:space="preserve"> SEQ Table \* ARABIC </w:instrText>
      </w:r>
      <w:r w:rsidR="00FF41C5">
        <w:fldChar w:fldCharType="separate"/>
      </w:r>
      <w:r w:rsidR="00B424F3">
        <w:rPr>
          <w:noProof/>
        </w:rPr>
        <w:t>1</w:t>
      </w:r>
      <w:r w:rsidR="00FF41C5">
        <w:rPr>
          <w:noProof/>
        </w:rPr>
        <w:fldChar w:fldCharType="end"/>
      </w:r>
      <w:bookmarkEnd w:id="39"/>
      <w:r w:rsidRPr="00DD3825">
        <w:t xml:space="preserve"> Economizer High Limit Shut Off Control Requirements*</w:t>
      </w:r>
      <w:bookmarkEnd w:id="40"/>
    </w:p>
    <w:tbl>
      <w:tblPr>
        <w:tblStyle w:val="PGEWorkPaper"/>
        <w:tblW w:w="0" w:type="auto"/>
        <w:tblLook w:val="04A0" w:firstRow="1" w:lastRow="0" w:firstColumn="1" w:lastColumn="0" w:noHBand="0" w:noVBand="1"/>
      </w:tblPr>
      <w:tblGrid>
        <w:gridCol w:w="3192"/>
        <w:gridCol w:w="3192"/>
        <w:gridCol w:w="3192"/>
      </w:tblGrid>
      <w:tr w:rsidR="002D5DAF" w:rsidRPr="00DD3825" w:rsidTr="00A72E75">
        <w:trPr>
          <w:cnfStyle w:val="100000000000" w:firstRow="1" w:lastRow="0" w:firstColumn="0" w:lastColumn="0" w:oddVBand="0" w:evenVBand="0" w:oddHBand="0" w:evenHBand="0" w:firstRowFirstColumn="0" w:firstRowLastColumn="0" w:lastRowFirstColumn="0" w:lastRowLastColumn="0"/>
        </w:trPr>
        <w:tc>
          <w:tcPr>
            <w:tcW w:w="3192" w:type="dxa"/>
          </w:tcPr>
          <w:p w:rsidR="002D5DAF" w:rsidRPr="00DD3825" w:rsidRDefault="002D5DAF" w:rsidP="00D3279E">
            <w:pPr>
              <w:rPr>
                <w:color w:val="auto"/>
              </w:rPr>
            </w:pPr>
            <w:r w:rsidRPr="00DD3825">
              <w:rPr>
                <w:color w:val="auto"/>
              </w:rPr>
              <w:t>Device Type</w:t>
            </w:r>
          </w:p>
        </w:tc>
        <w:tc>
          <w:tcPr>
            <w:tcW w:w="3192" w:type="dxa"/>
          </w:tcPr>
          <w:p w:rsidR="002D5DAF" w:rsidRPr="00DD3825" w:rsidRDefault="002D5DAF" w:rsidP="00D3279E">
            <w:pPr>
              <w:rPr>
                <w:color w:val="auto"/>
              </w:rPr>
            </w:pPr>
            <w:r w:rsidRPr="00DD3825">
              <w:rPr>
                <w:color w:val="auto"/>
              </w:rPr>
              <w:t>Climate Zones</w:t>
            </w:r>
          </w:p>
        </w:tc>
        <w:tc>
          <w:tcPr>
            <w:tcW w:w="3192" w:type="dxa"/>
          </w:tcPr>
          <w:p w:rsidR="002D5DAF" w:rsidRPr="00DD3825" w:rsidRDefault="002D5DAF" w:rsidP="00D3279E">
            <w:pPr>
              <w:rPr>
                <w:color w:val="auto"/>
              </w:rPr>
            </w:pPr>
            <w:r w:rsidRPr="00DD3825">
              <w:rPr>
                <w:color w:val="auto"/>
              </w:rPr>
              <w:t xml:space="preserve">Economizer High Limit Equation (economizer off </w:t>
            </w:r>
            <w:r w:rsidRPr="00DD3825">
              <w:rPr>
                <w:color w:val="auto"/>
              </w:rPr>
              <w:lastRenderedPageBreak/>
              <w:t>when)</w:t>
            </w:r>
          </w:p>
        </w:tc>
      </w:tr>
      <w:tr w:rsidR="002D5DAF" w:rsidRPr="00DD3825" w:rsidTr="00A72E75">
        <w:trPr>
          <w:cnfStyle w:val="000000100000" w:firstRow="0" w:lastRow="0" w:firstColumn="0" w:lastColumn="0" w:oddVBand="0" w:evenVBand="0" w:oddHBand="1" w:evenHBand="0" w:firstRowFirstColumn="0" w:firstRowLastColumn="0" w:lastRowFirstColumn="0" w:lastRowLastColumn="0"/>
        </w:trPr>
        <w:tc>
          <w:tcPr>
            <w:tcW w:w="3192" w:type="dxa"/>
            <w:vMerge w:val="restart"/>
          </w:tcPr>
          <w:p w:rsidR="002D5DAF" w:rsidRPr="00DD3825" w:rsidRDefault="002D5DAF" w:rsidP="00D3279E">
            <w:r w:rsidRPr="00DD3825">
              <w:lastRenderedPageBreak/>
              <w:t>Fixed Dry Bulb</w:t>
            </w:r>
          </w:p>
        </w:tc>
        <w:tc>
          <w:tcPr>
            <w:tcW w:w="3192" w:type="dxa"/>
          </w:tcPr>
          <w:p w:rsidR="002D5DAF" w:rsidRPr="00DD3825" w:rsidRDefault="002D5DAF" w:rsidP="00D3279E">
            <w:r w:rsidRPr="00DD3825">
              <w:t>1, 3, 5, 11-16</w:t>
            </w:r>
          </w:p>
        </w:tc>
        <w:tc>
          <w:tcPr>
            <w:tcW w:w="3192" w:type="dxa"/>
          </w:tcPr>
          <w:p w:rsidR="002D5DAF" w:rsidRPr="00DD3825" w:rsidRDefault="002D5DAF" w:rsidP="00D3279E">
            <w:r w:rsidRPr="00DD3825">
              <w:t>Toa&gt;75°F</w:t>
            </w:r>
          </w:p>
        </w:tc>
      </w:tr>
      <w:tr w:rsidR="002D5DAF" w:rsidRPr="00DD3825" w:rsidTr="00A72E75">
        <w:trPr>
          <w:cnfStyle w:val="000000010000" w:firstRow="0" w:lastRow="0" w:firstColumn="0" w:lastColumn="0" w:oddVBand="0" w:evenVBand="0" w:oddHBand="0" w:evenHBand="1" w:firstRowFirstColumn="0" w:firstRowLastColumn="0" w:lastRowFirstColumn="0" w:lastRowLastColumn="0"/>
        </w:trPr>
        <w:tc>
          <w:tcPr>
            <w:tcW w:w="3192" w:type="dxa"/>
            <w:vMerge/>
          </w:tcPr>
          <w:p w:rsidR="002D5DAF" w:rsidRPr="00DD3825" w:rsidRDefault="002D5DAF" w:rsidP="00D3279E"/>
        </w:tc>
        <w:tc>
          <w:tcPr>
            <w:tcW w:w="3192" w:type="dxa"/>
          </w:tcPr>
          <w:p w:rsidR="002D5DAF" w:rsidRPr="00DD3825" w:rsidRDefault="002D5DAF" w:rsidP="00D3279E">
            <w:r w:rsidRPr="00DD3825">
              <w:t>2, 4, 10</w:t>
            </w:r>
          </w:p>
        </w:tc>
        <w:tc>
          <w:tcPr>
            <w:tcW w:w="3192" w:type="dxa"/>
          </w:tcPr>
          <w:p w:rsidR="002D5DAF" w:rsidRPr="00DD3825" w:rsidRDefault="002D5DAF" w:rsidP="00D3279E">
            <w:r w:rsidRPr="00DD3825">
              <w:t>Toa&gt;73°F</w:t>
            </w:r>
          </w:p>
        </w:tc>
      </w:tr>
      <w:tr w:rsidR="002D5DAF" w:rsidRPr="00DD3825" w:rsidTr="00A72E75">
        <w:trPr>
          <w:cnfStyle w:val="000000100000" w:firstRow="0" w:lastRow="0" w:firstColumn="0" w:lastColumn="0" w:oddVBand="0" w:evenVBand="0" w:oddHBand="1" w:evenHBand="0" w:firstRowFirstColumn="0" w:firstRowLastColumn="0" w:lastRowFirstColumn="0" w:lastRowLastColumn="0"/>
        </w:trPr>
        <w:tc>
          <w:tcPr>
            <w:tcW w:w="3192" w:type="dxa"/>
            <w:vMerge/>
          </w:tcPr>
          <w:p w:rsidR="002D5DAF" w:rsidRPr="00DD3825" w:rsidRDefault="002D5DAF" w:rsidP="00D3279E"/>
        </w:tc>
        <w:tc>
          <w:tcPr>
            <w:tcW w:w="3192" w:type="dxa"/>
          </w:tcPr>
          <w:p w:rsidR="002D5DAF" w:rsidRPr="00DD3825" w:rsidRDefault="002D5DAF" w:rsidP="00D3279E">
            <w:r w:rsidRPr="00DD3825">
              <w:t>6, 8, 9</w:t>
            </w:r>
          </w:p>
        </w:tc>
        <w:tc>
          <w:tcPr>
            <w:tcW w:w="3192" w:type="dxa"/>
          </w:tcPr>
          <w:p w:rsidR="002D5DAF" w:rsidRPr="00DD3825" w:rsidRDefault="002D5DAF" w:rsidP="00D3279E">
            <w:r w:rsidRPr="00DD3825">
              <w:t>Toa&gt;71°F</w:t>
            </w:r>
          </w:p>
        </w:tc>
      </w:tr>
      <w:tr w:rsidR="002D5DAF" w:rsidRPr="00DD3825" w:rsidTr="00A72E75">
        <w:trPr>
          <w:cnfStyle w:val="000000010000" w:firstRow="0" w:lastRow="0" w:firstColumn="0" w:lastColumn="0" w:oddVBand="0" w:evenVBand="0" w:oddHBand="0" w:evenHBand="1" w:firstRowFirstColumn="0" w:firstRowLastColumn="0" w:lastRowFirstColumn="0" w:lastRowLastColumn="0"/>
        </w:trPr>
        <w:tc>
          <w:tcPr>
            <w:tcW w:w="3192" w:type="dxa"/>
            <w:vMerge/>
            <w:tcBorders>
              <w:bottom w:val="single" w:sz="18" w:space="0" w:color="FFFFFF"/>
            </w:tcBorders>
          </w:tcPr>
          <w:p w:rsidR="002D5DAF" w:rsidRPr="00DD3825" w:rsidRDefault="002D5DAF" w:rsidP="00D3279E"/>
        </w:tc>
        <w:tc>
          <w:tcPr>
            <w:tcW w:w="3192" w:type="dxa"/>
          </w:tcPr>
          <w:p w:rsidR="002D5DAF" w:rsidRPr="00DD3825" w:rsidRDefault="002D5DAF" w:rsidP="00D3279E">
            <w:r w:rsidRPr="00DD3825">
              <w:t>7</w:t>
            </w:r>
          </w:p>
        </w:tc>
        <w:tc>
          <w:tcPr>
            <w:tcW w:w="3192" w:type="dxa"/>
          </w:tcPr>
          <w:p w:rsidR="002D5DAF" w:rsidRPr="00DD3825" w:rsidRDefault="002D5DAF" w:rsidP="00D3279E">
            <w:r w:rsidRPr="00DD3825">
              <w:t>Toa&gt;69°F</w:t>
            </w:r>
          </w:p>
        </w:tc>
      </w:tr>
      <w:tr w:rsidR="002D5DAF" w:rsidRPr="00DD3825" w:rsidTr="00A72E75">
        <w:trPr>
          <w:cnfStyle w:val="000000100000" w:firstRow="0" w:lastRow="0" w:firstColumn="0" w:lastColumn="0" w:oddVBand="0" w:evenVBand="0" w:oddHBand="1" w:evenHBand="0" w:firstRowFirstColumn="0" w:firstRowLastColumn="0" w:lastRowFirstColumn="0" w:lastRowLastColumn="0"/>
        </w:trPr>
        <w:tc>
          <w:tcPr>
            <w:tcW w:w="3192" w:type="dxa"/>
            <w:vMerge w:val="restart"/>
            <w:shd w:val="pct20" w:color="000000" w:themeColor="text1" w:fill="auto"/>
          </w:tcPr>
          <w:p w:rsidR="002D5DAF" w:rsidRPr="00DD3825" w:rsidRDefault="002D5DAF" w:rsidP="00D3279E">
            <w:r w:rsidRPr="00DD3825">
              <w:t>Differential Dry Bulb</w:t>
            </w:r>
          </w:p>
        </w:tc>
        <w:tc>
          <w:tcPr>
            <w:tcW w:w="3192" w:type="dxa"/>
          </w:tcPr>
          <w:p w:rsidR="002D5DAF" w:rsidRPr="00DD3825" w:rsidRDefault="002D5DAF" w:rsidP="00D3279E">
            <w:r w:rsidRPr="00DD3825">
              <w:t>1, 3, 5, 11-16</w:t>
            </w:r>
          </w:p>
        </w:tc>
        <w:tc>
          <w:tcPr>
            <w:tcW w:w="3192" w:type="dxa"/>
          </w:tcPr>
          <w:p w:rsidR="002D5DAF" w:rsidRPr="00DD3825" w:rsidRDefault="002D5DAF" w:rsidP="00D3279E">
            <w:r w:rsidRPr="00DD3825">
              <w:t>Toa&gt;Tra°F</w:t>
            </w:r>
          </w:p>
        </w:tc>
      </w:tr>
      <w:tr w:rsidR="002D5DAF" w:rsidRPr="00DD3825" w:rsidTr="00A72E75">
        <w:trPr>
          <w:cnfStyle w:val="000000010000" w:firstRow="0" w:lastRow="0" w:firstColumn="0" w:lastColumn="0" w:oddVBand="0" w:evenVBand="0" w:oddHBand="0" w:evenHBand="1" w:firstRowFirstColumn="0" w:firstRowLastColumn="0" w:lastRowFirstColumn="0" w:lastRowLastColumn="0"/>
        </w:trPr>
        <w:tc>
          <w:tcPr>
            <w:tcW w:w="3192" w:type="dxa"/>
            <w:vMerge/>
            <w:shd w:val="pct20" w:color="000000" w:themeColor="text1" w:fill="auto"/>
          </w:tcPr>
          <w:p w:rsidR="002D5DAF" w:rsidRPr="00DD3825" w:rsidRDefault="002D5DAF" w:rsidP="00D3279E"/>
        </w:tc>
        <w:tc>
          <w:tcPr>
            <w:tcW w:w="3192" w:type="dxa"/>
          </w:tcPr>
          <w:p w:rsidR="002D5DAF" w:rsidRPr="00DD3825" w:rsidRDefault="002D5DAF" w:rsidP="00D3279E">
            <w:r w:rsidRPr="00DD3825">
              <w:t>2, 4, 10</w:t>
            </w:r>
          </w:p>
        </w:tc>
        <w:tc>
          <w:tcPr>
            <w:tcW w:w="3192" w:type="dxa"/>
          </w:tcPr>
          <w:p w:rsidR="002D5DAF" w:rsidRPr="00DD3825" w:rsidRDefault="002D5DAF" w:rsidP="00D3279E">
            <w:r w:rsidRPr="00DD3825">
              <w:t>Toa&gt;Tra-2°F</w:t>
            </w:r>
          </w:p>
        </w:tc>
      </w:tr>
      <w:tr w:rsidR="002D5DAF" w:rsidRPr="00DD3825" w:rsidTr="00A72E75">
        <w:trPr>
          <w:cnfStyle w:val="000000100000" w:firstRow="0" w:lastRow="0" w:firstColumn="0" w:lastColumn="0" w:oddVBand="0" w:evenVBand="0" w:oddHBand="1" w:evenHBand="0" w:firstRowFirstColumn="0" w:firstRowLastColumn="0" w:lastRowFirstColumn="0" w:lastRowLastColumn="0"/>
        </w:trPr>
        <w:tc>
          <w:tcPr>
            <w:tcW w:w="3192" w:type="dxa"/>
            <w:vMerge/>
            <w:shd w:val="pct20" w:color="000000" w:themeColor="text1" w:fill="auto"/>
          </w:tcPr>
          <w:p w:rsidR="002D5DAF" w:rsidRPr="00DD3825" w:rsidRDefault="002D5DAF" w:rsidP="00D3279E"/>
        </w:tc>
        <w:tc>
          <w:tcPr>
            <w:tcW w:w="3192" w:type="dxa"/>
          </w:tcPr>
          <w:p w:rsidR="002D5DAF" w:rsidRPr="00DD3825" w:rsidRDefault="002D5DAF" w:rsidP="00D3279E">
            <w:r w:rsidRPr="00DD3825">
              <w:t>6, 8, 9</w:t>
            </w:r>
          </w:p>
        </w:tc>
        <w:tc>
          <w:tcPr>
            <w:tcW w:w="3192" w:type="dxa"/>
          </w:tcPr>
          <w:p w:rsidR="002D5DAF" w:rsidRPr="00DD3825" w:rsidRDefault="002D5DAF" w:rsidP="00D3279E">
            <w:r w:rsidRPr="00DD3825">
              <w:t>Toa&gt;Tra-4°F</w:t>
            </w:r>
          </w:p>
        </w:tc>
      </w:tr>
      <w:tr w:rsidR="002D5DAF" w:rsidRPr="00DD3825" w:rsidTr="00A72E75">
        <w:trPr>
          <w:cnfStyle w:val="000000010000" w:firstRow="0" w:lastRow="0" w:firstColumn="0" w:lastColumn="0" w:oddVBand="0" w:evenVBand="0" w:oddHBand="0" w:evenHBand="1" w:firstRowFirstColumn="0" w:firstRowLastColumn="0" w:lastRowFirstColumn="0" w:lastRowLastColumn="0"/>
        </w:trPr>
        <w:tc>
          <w:tcPr>
            <w:tcW w:w="3192" w:type="dxa"/>
            <w:vMerge/>
            <w:tcBorders>
              <w:bottom w:val="single" w:sz="18" w:space="0" w:color="FFFFFF"/>
            </w:tcBorders>
            <w:shd w:val="pct20" w:color="000000" w:themeColor="text1" w:fill="auto"/>
          </w:tcPr>
          <w:p w:rsidR="002D5DAF" w:rsidRPr="00DD3825" w:rsidRDefault="002D5DAF" w:rsidP="00D3279E"/>
        </w:tc>
        <w:tc>
          <w:tcPr>
            <w:tcW w:w="3192" w:type="dxa"/>
          </w:tcPr>
          <w:p w:rsidR="002D5DAF" w:rsidRPr="00DD3825" w:rsidRDefault="002D5DAF" w:rsidP="00D3279E">
            <w:r w:rsidRPr="00DD3825">
              <w:t>7</w:t>
            </w:r>
          </w:p>
        </w:tc>
        <w:tc>
          <w:tcPr>
            <w:tcW w:w="3192" w:type="dxa"/>
          </w:tcPr>
          <w:p w:rsidR="002D5DAF" w:rsidRPr="00DD3825" w:rsidRDefault="002D5DAF" w:rsidP="00D3279E">
            <w:r w:rsidRPr="00DD3825">
              <w:t>Toa&gt;Tra-6°F</w:t>
            </w:r>
          </w:p>
        </w:tc>
      </w:tr>
      <w:tr w:rsidR="002D5DAF" w:rsidRPr="00DD3825" w:rsidTr="00A72E75">
        <w:trPr>
          <w:cnfStyle w:val="000000100000" w:firstRow="0" w:lastRow="0" w:firstColumn="0" w:lastColumn="0" w:oddVBand="0" w:evenVBand="0" w:oddHBand="1" w:evenHBand="0" w:firstRowFirstColumn="0" w:firstRowLastColumn="0" w:lastRowFirstColumn="0" w:lastRowLastColumn="0"/>
        </w:trPr>
        <w:tc>
          <w:tcPr>
            <w:tcW w:w="3192" w:type="dxa"/>
            <w:shd w:val="pct5" w:color="000000" w:themeColor="text1" w:fill="auto"/>
          </w:tcPr>
          <w:p w:rsidR="002D5DAF" w:rsidRPr="00DD3825" w:rsidRDefault="002D5DAF" w:rsidP="00D3279E">
            <w:r w:rsidRPr="00DD3825">
              <w:t>Fixed Enthalpy + Fixed Dry Bulb</w:t>
            </w:r>
          </w:p>
        </w:tc>
        <w:tc>
          <w:tcPr>
            <w:tcW w:w="3192" w:type="dxa"/>
          </w:tcPr>
          <w:p w:rsidR="002D5DAF" w:rsidRPr="00DD3825" w:rsidRDefault="002D5DAF" w:rsidP="00D3279E">
            <w:r w:rsidRPr="00DD3825">
              <w:t>All</w:t>
            </w:r>
          </w:p>
        </w:tc>
        <w:tc>
          <w:tcPr>
            <w:tcW w:w="3192" w:type="dxa"/>
          </w:tcPr>
          <w:p w:rsidR="002D5DAF" w:rsidRPr="00DD3825" w:rsidRDefault="002D5DAF" w:rsidP="00D3279E">
            <w:r w:rsidRPr="00DD3825">
              <w:t>Hoa&gt;28Btu/lb or Toa&gt;75°F</w:t>
            </w:r>
          </w:p>
        </w:tc>
      </w:tr>
    </w:tbl>
    <w:p w:rsidR="002D5DAF" w:rsidRPr="00DD3825" w:rsidRDefault="00140B01" w:rsidP="00884D6C">
      <w:r w:rsidRPr="00DD3825">
        <w:t>*Adapted from Title 24 2013 Table 140.4-B</w:t>
      </w:r>
      <w:r w:rsidRPr="00DD3825">
        <w:fldChar w:fldCharType="begin"/>
      </w:r>
      <w:r w:rsidRPr="00DD3825">
        <w:instrText xml:space="preserve"> NOTEREF _Ref384193100 \f \h </w:instrText>
      </w:r>
      <w:r w:rsidR="00DD3825">
        <w:instrText xml:space="preserve"> \* MERGEFORMAT </w:instrText>
      </w:r>
      <w:r w:rsidRPr="00DD3825">
        <w:fldChar w:fldCharType="separate"/>
      </w:r>
      <w:r w:rsidR="00B424F3" w:rsidRPr="00B424F3">
        <w:rPr>
          <w:rStyle w:val="EndnoteReference"/>
        </w:rPr>
        <w:t>1</w:t>
      </w:r>
      <w:r w:rsidRPr="00DD3825">
        <w:fldChar w:fldCharType="end"/>
      </w:r>
      <w:r w:rsidRPr="00DD3825">
        <w:t>. Refer to source for additional detail.</w:t>
      </w:r>
    </w:p>
    <w:p w:rsidR="002D5DAF" w:rsidRPr="00DD3825" w:rsidRDefault="002D5DAF" w:rsidP="00884D6C"/>
    <w:p w:rsidR="00884D6C" w:rsidRPr="00DD3825" w:rsidRDefault="007363E5" w:rsidP="00884D6C">
      <w:r w:rsidRPr="00DD3825">
        <w:t xml:space="preserve"> </w:t>
      </w:r>
      <w:r w:rsidR="00A72E75" w:rsidRPr="00DD3825">
        <w:t xml:space="preserve"> </w:t>
      </w:r>
      <w:r w:rsidR="00C729B1" w:rsidRPr="00DD3825">
        <w:fldChar w:fldCharType="begin"/>
      </w:r>
      <w:r w:rsidR="00C729B1" w:rsidRPr="00DD3825">
        <w:instrText xml:space="preserve"> REF _Ref384794612 \h </w:instrText>
      </w:r>
      <w:r w:rsidR="00DD3825">
        <w:instrText xml:space="preserve"> \* MERGEFORMAT </w:instrText>
      </w:r>
      <w:r w:rsidR="00C729B1" w:rsidRPr="00DD3825">
        <w:fldChar w:fldCharType="separate"/>
      </w:r>
      <w:r w:rsidR="00B424F3" w:rsidRPr="00DD3825">
        <w:t xml:space="preserve">Table </w:t>
      </w:r>
      <w:r w:rsidR="00B424F3">
        <w:rPr>
          <w:noProof/>
        </w:rPr>
        <w:t>2</w:t>
      </w:r>
      <w:r w:rsidR="00C729B1" w:rsidRPr="00DD3825">
        <w:fldChar w:fldCharType="end"/>
      </w:r>
      <w:r w:rsidR="00C729B1" w:rsidRPr="00DD3825">
        <w:t xml:space="preserve"> p</w:t>
      </w:r>
      <w:r w:rsidR="00A72E75" w:rsidRPr="00DD3825">
        <w:t>rovides d</w:t>
      </w:r>
      <w:r w:rsidR="004E16A6" w:rsidRPr="00DD3825">
        <w:t>ata required for calculation of energy savings estimates and incentives, and verification of installation and</w:t>
      </w:r>
      <w:r w:rsidR="00A72E75" w:rsidRPr="00DD3825">
        <w:t xml:space="preserve"> setup requirements.</w:t>
      </w:r>
    </w:p>
    <w:p w:rsidR="00884D6C" w:rsidRPr="00DD3825" w:rsidRDefault="00884D6C" w:rsidP="00884D6C"/>
    <w:p w:rsidR="00A72E75" w:rsidRPr="00DD3825" w:rsidRDefault="00A72E75" w:rsidP="00A72E75">
      <w:pPr>
        <w:pStyle w:val="Caption"/>
        <w:keepNext/>
        <w:jc w:val="center"/>
      </w:pPr>
      <w:bookmarkStart w:id="41" w:name="_Ref384794612"/>
      <w:bookmarkStart w:id="42" w:name="_Toc386811742"/>
      <w:r w:rsidRPr="00DD3825">
        <w:t xml:space="preserve">Table </w:t>
      </w:r>
      <w:r w:rsidR="00FF41C5">
        <w:fldChar w:fldCharType="begin"/>
      </w:r>
      <w:r w:rsidR="00FF41C5">
        <w:instrText xml:space="preserve"> SEQ Table \* ARABIC </w:instrText>
      </w:r>
      <w:r w:rsidR="00FF41C5">
        <w:fldChar w:fldCharType="separate"/>
      </w:r>
      <w:r w:rsidR="00B424F3">
        <w:rPr>
          <w:noProof/>
        </w:rPr>
        <w:t>2</w:t>
      </w:r>
      <w:r w:rsidR="00FF41C5">
        <w:rPr>
          <w:noProof/>
        </w:rPr>
        <w:fldChar w:fldCharType="end"/>
      </w:r>
      <w:bookmarkEnd w:id="41"/>
      <w:r w:rsidRPr="00DD3825">
        <w:t xml:space="preserve"> Required Data</w:t>
      </w:r>
      <w:bookmarkEnd w:id="42"/>
    </w:p>
    <w:tbl>
      <w:tblPr>
        <w:tblStyle w:val="PGEWorkPaper"/>
        <w:tblW w:w="0" w:type="auto"/>
        <w:tblLook w:val="04A0" w:firstRow="1" w:lastRow="0" w:firstColumn="1" w:lastColumn="0" w:noHBand="0" w:noVBand="1"/>
      </w:tblPr>
      <w:tblGrid>
        <w:gridCol w:w="4788"/>
        <w:gridCol w:w="4788"/>
      </w:tblGrid>
      <w:tr w:rsidR="005D3A23" w:rsidRPr="00DD3825" w:rsidTr="00A72E75">
        <w:trPr>
          <w:cnfStyle w:val="100000000000" w:firstRow="1" w:lastRow="0" w:firstColumn="0" w:lastColumn="0" w:oddVBand="0" w:evenVBand="0" w:oddHBand="0" w:evenHBand="0" w:firstRowFirstColumn="0" w:firstRowLastColumn="0" w:lastRowFirstColumn="0" w:lastRowLastColumn="0"/>
        </w:trPr>
        <w:tc>
          <w:tcPr>
            <w:tcW w:w="4788" w:type="dxa"/>
          </w:tcPr>
          <w:p w:rsidR="005D3A23" w:rsidRPr="00DD3825" w:rsidRDefault="00100BC0" w:rsidP="007E20BF">
            <w:pPr>
              <w:rPr>
                <w:color w:val="auto"/>
              </w:rPr>
            </w:pPr>
            <w:r w:rsidRPr="00DD3825">
              <w:rPr>
                <w:color w:val="auto"/>
              </w:rPr>
              <w:t>Required Data</w:t>
            </w:r>
          </w:p>
        </w:tc>
        <w:tc>
          <w:tcPr>
            <w:tcW w:w="4788" w:type="dxa"/>
          </w:tcPr>
          <w:p w:rsidR="005D3A23" w:rsidRPr="00DD3825" w:rsidRDefault="00100BC0" w:rsidP="007E20BF">
            <w:pPr>
              <w:rPr>
                <w:color w:val="auto"/>
              </w:rPr>
            </w:pPr>
            <w:r w:rsidRPr="00DD3825">
              <w:rPr>
                <w:color w:val="auto"/>
              </w:rPr>
              <w:t>Eligible Values</w:t>
            </w:r>
          </w:p>
        </w:tc>
      </w:tr>
      <w:tr w:rsidR="005D3A23" w:rsidRPr="00DD3825" w:rsidTr="00A72E75">
        <w:trPr>
          <w:cnfStyle w:val="000000100000" w:firstRow="0" w:lastRow="0" w:firstColumn="0" w:lastColumn="0" w:oddVBand="0" w:evenVBand="0" w:oddHBand="1" w:evenHBand="0" w:firstRowFirstColumn="0" w:firstRowLastColumn="0" w:lastRowFirstColumn="0" w:lastRowLastColumn="0"/>
        </w:trPr>
        <w:tc>
          <w:tcPr>
            <w:tcW w:w="4788" w:type="dxa"/>
          </w:tcPr>
          <w:p w:rsidR="005D3A23" w:rsidRPr="00DD3825" w:rsidRDefault="005D3A23" w:rsidP="007E20BF">
            <w:r w:rsidRPr="00DD3825">
              <w:t>Actual or proxy building type</w:t>
            </w:r>
          </w:p>
        </w:tc>
        <w:tc>
          <w:tcPr>
            <w:tcW w:w="4788" w:type="dxa"/>
          </w:tcPr>
          <w:p w:rsidR="005D3A23" w:rsidRPr="00DD3825" w:rsidRDefault="00F11394" w:rsidP="007E20BF">
            <w:r w:rsidRPr="00DD3825">
              <w:t xml:space="preserve">See </w:t>
            </w:r>
            <w:r w:rsidRPr="00DD3825">
              <w:fldChar w:fldCharType="begin"/>
            </w:r>
            <w:r w:rsidRPr="00DD3825">
              <w:instrText xml:space="preserve"> REF _Ref384192027 \h </w:instrText>
            </w:r>
            <w:r w:rsidR="009C01EE" w:rsidRPr="00DD3825">
              <w:instrText xml:space="preserve"> \* MERGEFORMAT </w:instrText>
            </w:r>
            <w:r w:rsidRPr="00DD3825">
              <w:fldChar w:fldCharType="separate"/>
            </w:r>
            <w:r w:rsidR="00B424F3" w:rsidRPr="00DD3825">
              <w:t xml:space="preserve">Table </w:t>
            </w:r>
            <w:r w:rsidR="00B424F3">
              <w:rPr>
                <w:noProof/>
              </w:rPr>
              <w:t>3</w:t>
            </w:r>
            <w:r w:rsidRPr="00DD3825">
              <w:fldChar w:fldCharType="end"/>
            </w:r>
            <w:r w:rsidR="00100BC0" w:rsidRPr="00DD3825">
              <w:t xml:space="preserve"> building type codes</w:t>
            </w:r>
          </w:p>
        </w:tc>
      </w:tr>
      <w:tr w:rsidR="005D3A23" w:rsidRPr="00DD3825" w:rsidTr="00A72E75">
        <w:trPr>
          <w:cnfStyle w:val="000000010000" w:firstRow="0" w:lastRow="0" w:firstColumn="0" w:lastColumn="0" w:oddVBand="0" w:evenVBand="0" w:oddHBand="0" w:evenHBand="1" w:firstRowFirstColumn="0" w:firstRowLastColumn="0" w:lastRowFirstColumn="0" w:lastRowLastColumn="0"/>
        </w:trPr>
        <w:tc>
          <w:tcPr>
            <w:tcW w:w="4788" w:type="dxa"/>
          </w:tcPr>
          <w:p w:rsidR="005D3A23" w:rsidRPr="00DD3825" w:rsidRDefault="005D3A23" w:rsidP="007E20BF">
            <w:r w:rsidRPr="00DD3825">
              <w:t>Unit type</w:t>
            </w:r>
          </w:p>
        </w:tc>
        <w:tc>
          <w:tcPr>
            <w:tcW w:w="4788" w:type="dxa"/>
          </w:tcPr>
          <w:p w:rsidR="005D3A23" w:rsidRPr="00DD3825" w:rsidRDefault="009340E7" w:rsidP="007E20BF">
            <w:r w:rsidRPr="00DD3825">
              <w:t>P</w:t>
            </w:r>
            <w:r w:rsidR="00F11394" w:rsidRPr="00DD3825">
              <w:t>ackaged single zone DX</w:t>
            </w:r>
            <w:r w:rsidRPr="00DD3825">
              <w:t xml:space="preserve"> -</w:t>
            </w:r>
            <w:r w:rsidR="00F11394" w:rsidRPr="00DD3825">
              <w:t xml:space="preserve"> cooling unit with gas heat, cooling only unit, or heat pump</w:t>
            </w:r>
          </w:p>
        </w:tc>
      </w:tr>
      <w:tr w:rsidR="005D3A23" w:rsidRPr="00DD3825" w:rsidTr="00A72E75">
        <w:trPr>
          <w:cnfStyle w:val="000000100000" w:firstRow="0" w:lastRow="0" w:firstColumn="0" w:lastColumn="0" w:oddVBand="0" w:evenVBand="0" w:oddHBand="1" w:evenHBand="0" w:firstRowFirstColumn="0" w:firstRowLastColumn="0" w:lastRowFirstColumn="0" w:lastRowLastColumn="0"/>
        </w:trPr>
        <w:tc>
          <w:tcPr>
            <w:tcW w:w="4788" w:type="dxa"/>
          </w:tcPr>
          <w:p w:rsidR="005D3A23" w:rsidRPr="00DD3825" w:rsidRDefault="005D3A23" w:rsidP="007E20BF">
            <w:r w:rsidRPr="00DD3825">
              <w:t>Nominal cooling capacity</w:t>
            </w:r>
          </w:p>
        </w:tc>
        <w:tc>
          <w:tcPr>
            <w:tcW w:w="4788" w:type="dxa"/>
          </w:tcPr>
          <w:p w:rsidR="005D3A23" w:rsidRPr="00DD3825" w:rsidRDefault="00F11394" w:rsidP="007E20BF">
            <w:r w:rsidRPr="00DD3825">
              <w:t>Any</w:t>
            </w:r>
          </w:p>
        </w:tc>
      </w:tr>
      <w:tr w:rsidR="005D3A23" w:rsidRPr="00DD3825" w:rsidTr="00A72E75">
        <w:trPr>
          <w:cnfStyle w:val="000000010000" w:firstRow="0" w:lastRow="0" w:firstColumn="0" w:lastColumn="0" w:oddVBand="0" w:evenVBand="0" w:oddHBand="0" w:evenHBand="1" w:firstRowFirstColumn="0" w:firstRowLastColumn="0" w:lastRowFirstColumn="0" w:lastRowLastColumn="0"/>
        </w:trPr>
        <w:tc>
          <w:tcPr>
            <w:tcW w:w="4788" w:type="dxa"/>
          </w:tcPr>
          <w:p w:rsidR="005D3A23" w:rsidRPr="00DD3825" w:rsidRDefault="005D3A23" w:rsidP="007E20BF">
            <w:r w:rsidRPr="00DD3825">
              <w:t>As-found minimum ventilation position</w:t>
            </w:r>
          </w:p>
        </w:tc>
        <w:tc>
          <w:tcPr>
            <w:tcW w:w="4788" w:type="dxa"/>
          </w:tcPr>
          <w:p w:rsidR="005D3A23" w:rsidRPr="00DD3825" w:rsidRDefault="00100BC0" w:rsidP="007E20BF">
            <w:r w:rsidRPr="00DD3825">
              <w:t>&gt;0% open</w:t>
            </w:r>
          </w:p>
        </w:tc>
      </w:tr>
      <w:tr w:rsidR="005D3A23" w:rsidRPr="00DD3825" w:rsidTr="00A72E75">
        <w:trPr>
          <w:cnfStyle w:val="000000100000" w:firstRow="0" w:lastRow="0" w:firstColumn="0" w:lastColumn="0" w:oddVBand="0" w:evenVBand="0" w:oddHBand="1" w:evenHBand="0" w:firstRowFirstColumn="0" w:firstRowLastColumn="0" w:lastRowFirstColumn="0" w:lastRowLastColumn="0"/>
        </w:trPr>
        <w:tc>
          <w:tcPr>
            <w:tcW w:w="4788" w:type="dxa"/>
          </w:tcPr>
          <w:p w:rsidR="005D3A23" w:rsidRPr="00DD3825" w:rsidRDefault="005D3A23" w:rsidP="007E20BF">
            <w:r w:rsidRPr="00DD3825">
              <w:t>As-found occupied fan operation</w:t>
            </w:r>
          </w:p>
        </w:tc>
        <w:tc>
          <w:tcPr>
            <w:tcW w:w="4788" w:type="dxa"/>
          </w:tcPr>
          <w:p w:rsidR="005D3A23" w:rsidRPr="00DD3825" w:rsidRDefault="00F11394" w:rsidP="007E20BF">
            <w:r w:rsidRPr="00DD3825">
              <w:t>Continuous/On</w:t>
            </w:r>
          </w:p>
        </w:tc>
      </w:tr>
      <w:tr w:rsidR="00F11394" w:rsidRPr="00DD3825" w:rsidTr="00A72E75">
        <w:trPr>
          <w:cnfStyle w:val="000000010000" w:firstRow="0" w:lastRow="0" w:firstColumn="0" w:lastColumn="0" w:oddVBand="0" w:evenVBand="0" w:oddHBand="0" w:evenHBand="1" w:firstRowFirstColumn="0" w:firstRowLastColumn="0" w:lastRowFirstColumn="0" w:lastRowLastColumn="0"/>
        </w:trPr>
        <w:tc>
          <w:tcPr>
            <w:tcW w:w="4788" w:type="dxa"/>
          </w:tcPr>
          <w:p w:rsidR="00F11394" w:rsidRPr="00DD3825" w:rsidRDefault="009C01EE" w:rsidP="007E20BF">
            <w:r w:rsidRPr="00DD3825">
              <w:t>As-left minimum ventilation position</w:t>
            </w:r>
          </w:p>
        </w:tc>
        <w:tc>
          <w:tcPr>
            <w:tcW w:w="4788" w:type="dxa"/>
          </w:tcPr>
          <w:p w:rsidR="00F11394" w:rsidRPr="00DD3825" w:rsidRDefault="009C01EE" w:rsidP="007E20BF">
            <w:r w:rsidRPr="00DD3825">
              <w:t>Less than as-found position</w:t>
            </w:r>
          </w:p>
        </w:tc>
      </w:tr>
      <w:tr w:rsidR="009340E7" w:rsidRPr="00DD3825" w:rsidTr="00A72E75">
        <w:trPr>
          <w:cnfStyle w:val="000000100000" w:firstRow="0" w:lastRow="0" w:firstColumn="0" w:lastColumn="0" w:oddVBand="0" w:evenVBand="0" w:oddHBand="1" w:evenHBand="0" w:firstRowFirstColumn="0" w:firstRowLastColumn="0" w:lastRowFirstColumn="0" w:lastRowLastColumn="0"/>
        </w:trPr>
        <w:tc>
          <w:tcPr>
            <w:tcW w:w="4788" w:type="dxa"/>
          </w:tcPr>
          <w:p w:rsidR="009340E7" w:rsidRPr="00DD3825" w:rsidRDefault="009340E7" w:rsidP="007E20BF">
            <w:r w:rsidRPr="00DD3825">
              <w:t>Sensor location</w:t>
            </w:r>
          </w:p>
        </w:tc>
        <w:tc>
          <w:tcPr>
            <w:tcW w:w="4788" w:type="dxa"/>
          </w:tcPr>
          <w:p w:rsidR="009340E7" w:rsidRPr="00DD3825" w:rsidRDefault="009340E7" w:rsidP="007E20BF">
            <w:r w:rsidRPr="00DD3825">
              <w:t>Wall in zone or return duct</w:t>
            </w:r>
          </w:p>
        </w:tc>
      </w:tr>
      <w:tr w:rsidR="009340E7" w:rsidRPr="00DD3825" w:rsidTr="00A72E75">
        <w:trPr>
          <w:cnfStyle w:val="000000010000" w:firstRow="0" w:lastRow="0" w:firstColumn="0" w:lastColumn="0" w:oddVBand="0" w:evenVBand="0" w:oddHBand="0" w:evenHBand="1" w:firstRowFirstColumn="0" w:firstRowLastColumn="0" w:lastRowFirstColumn="0" w:lastRowLastColumn="0"/>
        </w:trPr>
        <w:tc>
          <w:tcPr>
            <w:tcW w:w="4788" w:type="dxa"/>
          </w:tcPr>
          <w:p w:rsidR="009340E7" w:rsidRPr="00DD3825" w:rsidRDefault="009340E7" w:rsidP="007E20BF">
            <w:r w:rsidRPr="00DD3825">
              <w:t>CO2 concentration high limit</w:t>
            </w:r>
          </w:p>
        </w:tc>
        <w:tc>
          <w:tcPr>
            <w:tcW w:w="4788" w:type="dxa"/>
          </w:tcPr>
          <w:p w:rsidR="009340E7" w:rsidRPr="00DD3825" w:rsidRDefault="009340E7" w:rsidP="007E20BF">
            <w:r w:rsidRPr="00DD3825">
              <w:t>1000 ppm without direct measurement of outdoor air concentration or dynamically adjusted to 600 ppm above measured outdoor air concentration</w:t>
            </w:r>
          </w:p>
        </w:tc>
      </w:tr>
    </w:tbl>
    <w:p w:rsidR="003E7422" w:rsidRPr="00DD3825" w:rsidRDefault="003E7422" w:rsidP="003A3AE6"/>
    <w:p w:rsidR="003A3AE6" w:rsidRPr="00DD3825" w:rsidRDefault="003A3AE6" w:rsidP="003A3AE6">
      <w:r w:rsidRPr="00DD3825">
        <w:t>Equipment used for the measure must meet the following qualifications for rebate eligibility. The requirements below draw on Title 24 2013 §120.1(a)4</w:t>
      </w:r>
      <w:r w:rsidRPr="00DD3825">
        <w:fldChar w:fldCharType="begin"/>
      </w:r>
      <w:r w:rsidRPr="00DD3825">
        <w:instrText xml:space="preserve"> NOTEREF _Ref384193100 \f \h </w:instrText>
      </w:r>
      <w:r w:rsidR="00DD3825">
        <w:instrText xml:space="preserve"> \* MERGEFORMAT </w:instrText>
      </w:r>
      <w:r w:rsidRPr="00DD3825">
        <w:fldChar w:fldCharType="separate"/>
      </w:r>
      <w:r w:rsidR="00B424F3" w:rsidRPr="00B424F3">
        <w:rPr>
          <w:rStyle w:val="EndnoteReference"/>
        </w:rPr>
        <w:t>1</w:t>
      </w:r>
      <w:r w:rsidRPr="00DD3825">
        <w:fldChar w:fldCharType="end"/>
      </w:r>
      <w:r w:rsidRPr="00DD3825">
        <w:t xml:space="preserve"> requirements for DCV, although they deviate slightly in some respects since the application of retrofit controls on a packaged unit is not considered a code-triggering event. One primary deviation from Title 24 2013</w:t>
      </w:r>
      <w:r w:rsidRPr="00DD3825">
        <w:fldChar w:fldCharType="begin"/>
      </w:r>
      <w:r w:rsidRPr="00DD3825">
        <w:instrText xml:space="preserve"> NOTEREF _Ref384193100 \f \h </w:instrText>
      </w:r>
      <w:r w:rsidR="00DD3825">
        <w:instrText xml:space="preserve"> \* MERGEFORMAT </w:instrText>
      </w:r>
      <w:r w:rsidRPr="00DD3825">
        <w:fldChar w:fldCharType="separate"/>
      </w:r>
      <w:r w:rsidR="00B424F3" w:rsidRPr="00B424F3">
        <w:rPr>
          <w:rStyle w:val="EndnoteReference"/>
        </w:rPr>
        <w:t>1</w:t>
      </w:r>
      <w:r w:rsidRPr="00DD3825">
        <w:fldChar w:fldCharType="end"/>
      </w:r>
      <w:r w:rsidRPr="00DD3825">
        <w:t xml:space="preserve"> requirements is that a return air duct-mounted CO2 sensor is allowed whereas Title 24 2013</w:t>
      </w:r>
      <w:r w:rsidRPr="00DD3825">
        <w:fldChar w:fldCharType="begin"/>
      </w:r>
      <w:r w:rsidRPr="00DD3825">
        <w:instrText xml:space="preserve"> NOTEREF _Ref384193100 \f \h </w:instrText>
      </w:r>
      <w:r w:rsidR="00DD3825">
        <w:instrText xml:space="preserve"> \* MERGEFORMAT </w:instrText>
      </w:r>
      <w:r w:rsidRPr="00DD3825">
        <w:fldChar w:fldCharType="separate"/>
      </w:r>
      <w:r w:rsidR="00B424F3" w:rsidRPr="00B424F3">
        <w:rPr>
          <w:rStyle w:val="EndnoteReference"/>
        </w:rPr>
        <w:t>1</w:t>
      </w:r>
      <w:r w:rsidRPr="00DD3825">
        <w:fldChar w:fldCharType="end"/>
      </w:r>
      <w:r w:rsidRPr="00DD3825">
        <w:t xml:space="preserve"> specifies that the sensor must be mounted in the zone and include a display.</w:t>
      </w:r>
      <w:r w:rsidR="00044EAF" w:rsidRPr="00DD3825">
        <w:t xml:space="preserve"> This allows for the measure to be installed more easily when site conditions or operational constraints are physically or cost-prohibitive to installation of a sensor in the zone.</w:t>
      </w:r>
    </w:p>
    <w:p w:rsidR="003A3AE6" w:rsidRPr="00DD3825" w:rsidRDefault="003A3AE6" w:rsidP="003A3AE6">
      <w:pPr>
        <w:pStyle w:val="ListParagraph"/>
        <w:numPr>
          <w:ilvl w:val="0"/>
          <w:numId w:val="23"/>
        </w:numPr>
      </w:pPr>
      <w:r w:rsidRPr="00DD3825">
        <w:t>To be eligible for CO2 sensor</w:t>
      </w:r>
      <w:r w:rsidR="00044EAF" w:rsidRPr="00DD3825">
        <w:t>-</w:t>
      </w:r>
      <w:r w:rsidRPr="00DD3825">
        <w:t>only rebate existing economizer control must be a digital type control and must have the capability to control the damper in response to a CO2 sensor signal</w:t>
      </w:r>
      <w:r w:rsidR="001912F5" w:rsidRPr="00DD3825">
        <w:t>.</w:t>
      </w:r>
    </w:p>
    <w:p w:rsidR="001912F5" w:rsidRPr="00DD3825" w:rsidRDefault="001912F5" w:rsidP="003A3AE6">
      <w:pPr>
        <w:pStyle w:val="ListParagraph"/>
        <w:numPr>
          <w:ilvl w:val="0"/>
          <w:numId w:val="23"/>
        </w:numPr>
      </w:pPr>
      <w:r w:rsidRPr="00DD3825">
        <w:t>To be eligible for ADEC with CO2 sensor rebate a program-qualifying ADEC or Enhanced Ventilation controller must be installed in addition to the CO2 sensor.</w:t>
      </w:r>
      <w:r w:rsidR="001C78B2" w:rsidRPr="00DD3825">
        <w:t xml:space="preserve"> See bullet above for qualifying ADEC specification.</w:t>
      </w:r>
    </w:p>
    <w:p w:rsidR="00C76421" w:rsidRPr="00DD3825" w:rsidRDefault="001912F5" w:rsidP="00C76421">
      <w:pPr>
        <w:pStyle w:val="ListParagraph"/>
        <w:numPr>
          <w:ilvl w:val="0"/>
          <w:numId w:val="23"/>
        </w:numPr>
      </w:pPr>
      <w:r w:rsidRPr="00DD3825">
        <w:t xml:space="preserve">For each system with demand control ventilation, CO2 sensors shall be installed in each room with no less than one sensor per 10,000 ft² of floor space. When a zone or a space </w:t>
      </w:r>
      <w:r w:rsidRPr="00DD3825">
        <w:lastRenderedPageBreak/>
        <w:t>is served by more than one sensor, signal from any sensor indicating that CO2 is near or at the setpoint within a space, shall trigger an increase in ventilation to the space.</w:t>
      </w:r>
      <w:r w:rsidR="00C76421" w:rsidRPr="00DD3825">
        <w:t xml:space="preserve"> </w:t>
      </w:r>
    </w:p>
    <w:p w:rsidR="004F31B8" w:rsidRPr="00DD3825" w:rsidRDefault="00C76421" w:rsidP="00C76421">
      <w:pPr>
        <w:pStyle w:val="ListParagraph"/>
        <w:numPr>
          <w:ilvl w:val="0"/>
          <w:numId w:val="23"/>
        </w:numPr>
      </w:pPr>
      <w:r w:rsidRPr="00DD3825">
        <w:t>Upon detection of sensor failure, the system shall provide a signal which resets to supply the minimum quantity of outside air to the level required if DCV were not installed.</w:t>
      </w:r>
    </w:p>
    <w:p w:rsidR="00044EAF" w:rsidRPr="00DD3825" w:rsidRDefault="00044EAF" w:rsidP="00044EAF">
      <w:pPr>
        <w:pStyle w:val="ListParagraph"/>
        <w:numPr>
          <w:ilvl w:val="0"/>
          <w:numId w:val="23"/>
        </w:numPr>
      </w:pPr>
      <w:r w:rsidRPr="00DD3825">
        <w:t>CO2 sensors shall be certified by the manufacturer to be accurate within plus or minus 75 ppm at a 600 and 1000 ppm concentration when measured at sea level and 25°C, factory calibrated, and certified by the manufacturer to require calibration no more frequently than once every 5 years.</w:t>
      </w:r>
    </w:p>
    <w:p w:rsidR="004F31B8" w:rsidRPr="00DD3825" w:rsidRDefault="004F31B8" w:rsidP="00480BAD">
      <w:pPr>
        <w:ind w:left="360"/>
        <w:rPr>
          <w:rFonts w:cs="Arial"/>
          <w:b/>
          <w:i/>
          <w:sz w:val="20"/>
          <w:szCs w:val="20"/>
        </w:rPr>
      </w:pPr>
    </w:p>
    <w:p w:rsidR="00503A6A" w:rsidRPr="00DD3825" w:rsidRDefault="00521920" w:rsidP="00076355">
      <w:pPr>
        <w:ind w:left="360"/>
        <w:rPr>
          <w:rFonts w:asciiTheme="minorHAnsi" w:eastAsiaTheme="minorHAnsi" w:hAnsiTheme="minorHAnsi" w:cstheme="minorBidi"/>
          <w:sz w:val="20"/>
          <w:szCs w:val="20"/>
        </w:rPr>
      </w:pPr>
      <w:r w:rsidRPr="00DD3825">
        <w:rPr>
          <w:rFonts w:cs="Arial"/>
          <w:b/>
          <w:i/>
          <w:sz w:val="20"/>
          <w:szCs w:val="20"/>
        </w:rPr>
        <w:t>Market Applicability</w:t>
      </w:r>
      <w:r w:rsidR="003E7422" w:rsidRPr="00DD3825">
        <w:rPr>
          <w:rFonts w:cs="Arial"/>
          <w:b/>
          <w:i/>
          <w:sz w:val="20"/>
          <w:szCs w:val="20"/>
        </w:rPr>
        <w:t>:</w:t>
      </w:r>
      <w:r w:rsidRPr="00DD3825">
        <w:rPr>
          <w:rFonts w:cs="Arial"/>
          <w:b/>
          <w:i/>
          <w:sz w:val="20"/>
          <w:szCs w:val="20"/>
        </w:rPr>
        <w:t xml:space="preserve"> </w:t>
      </w:r>
    </w:p>
    <w:p w:rsidR="00076355" w:rsidRPr="00DD3825" w:rsidRDefault="009E20C3" w:rsidP="00A70B62">
      <w:r w:rsidRPr="00DD3825">
        <w:t xml:space="preserve">This </w:t>
      </w:r>
      <w:r w:rsidR="00694DE4" w:rsidRPr="00DD3825">
        <w:t xml:space="preserve">upgrade </w:t>
      </w:r>
      <w:r w:rsidRPr="00DD3825">
        <w:t>measure</w:t>
      </w:r>
      <w:r w:rsidR="00694DE4" w:rsidRPr="00DD3825">
        <w:t xml:space="preserve"> for existing equipment</w:t>
      </w:r>
      <w:r w:rsidRPr="00DD3825">
        <w:t xml:space="preserve"> provides a </w:t>
      </w:r>
      <w:r w:rsidR="001C78B2" w:rsidRPr="00DD3825">
        <w:t xml:space="preserve">direct install </w:t>
      </w:r>
      <w:r w:rsidRPr="00DD3825">
        <w:t>rebate to c</w:t>
      </w:r>
      <w:r w:rsidR="009340E7" w:rsidRPr="00DD3825">
        <w:t>ontractors participating in a utility rebate program</w:t>
      </w:r>
      <w:r w:rsidRPr="00DD3825">
        <w:t>. C</w:t>
      </w:r>
      <w:r w:rsidR="009340E7" w:rsidRPr="00DD3825">
        <w:t xml:space="preserve">ommercial utility customers are the ultimate consumers of the measure. </w:t>
      </w:r>
      <w:r w:rsidR="00926C09" w:rsidRPr="00DD3825">
        <w:t>Contractors may use the rebate in any way they would like, including but not limited to passing through to customer, discounting cost to customer, increasing sales and marketing effort</w:t>
      </w:r>
      <w:r w:rsidR="00694DE4" w:rsidRPr="00DD3825">
        <w:t>s related to the measure</w:t>
      </w:r>
      <w:r w:rsidR="00926C09" w:rsidRPr="00DD3825">
        <w:t xml:space="preserve">, et cetera. </w:t>
      </w:r>
    </w:p>
    <w:p w:rsidR="00076355" w:rsidRPr="00DD3825" w:rsidRDefault="00076355" w:rsidP="00A70B62"/>
    <w:p w:rsidR="009340E7" w:rsidRPr="00DD3825" w:rsidRDefault="00A67F8F" w:rsidP="00A70B62">
      <w:r w:rsidRPr="00DD3825">
        <w:t>UES values are applicable to any</w:t>
      </w:r>
      <w:r w:rsidR="009340E7" w:rsidRPr="00DD3825">
        <w:t xml:space="preserve"> existing commercial utility customer building in any</w:t>
      </w:r>
      <w:r w:rsidR="009E20C3" w:rsidRPr="00DD3825">
        <w:t xml:space="preserve"> California</w:t>
      </w:r>
      <w:r w:rsidR="009340E7" w:rsidRPr="00DD3825">
        <w:t xml:space="preserve"> climate zone and of any vin</w:t>
      </w:r>
      <w:r w:rsidRPr="00DD3825">
        <w:t xml:space="preserve">tage. </w:t>
      </w:r>
      <w:r w:rsidR="00E3770F" w:rsidRPr="00DD3825">
        <w:t xml:space="preserve">All </w:t>
      </w:r>
      <w:r w:rsidRPr="00DD3825">
        <w:t>California utilities may not provide a rebate for the measure</w:t>
      </w:r>
      <w:r w:rsidR="00E3770F" w:rsidRPr="00DD3825">
        <w:t>, and rebate offerings may vary between those that do</w:t>
      </w:r>
      <w:r w:rsidRPr="00DD3825">
        <w:t>.</w:t>
      </w:r>
      <w:r w:rsidR="00E3770F" w:rsidRPr="00DD3825">
        <w:t xml:space="preserve"> </w:t>
      </w:r>
      <w:r w:rsidR="002A135C" w:rsidRPr="00DD3825">
        <w:t xml:space="preserve">Although some areas or specific customers for which the measure is available could be designated as hard-to-reach, this measure is not </w:t>
      </w:r>
      <w:r w:rsidR="00B66717" w:rsidRPr="00DD3825">
        <w:t xml:space="preserve">assigned </w:t>
      </w:r>
      <w:r w:rsidR="00076355" w:rsidRPr="00DD3825">
        <w:t>a hard-to-reach designation.</w:t>
      </w:r>
    </w:p>
    <w:p w:rsidR="009340E7" w:rsidRPr="00DD3825" w:rsidRDefault="009340E7" w:rsidP="00A70B62"/>
    <w:p w:rsidR="00A70B62" w:rsidRPr="00DD3825" w:rsidRDefault="00A70B62" w:rsidP="00A70B62">
      <w:r w:rsidRPr="00DD3825">
        <w:t xml:space="preserve">Savings estimation includes simulation of the measure in the specific building type and activity area combinations </w:t>
      </w:r>
      <w:r w:rsidR="00694DE4" w:rsidRPr="00DD3825">
        <w:t>shown</w:t>
      </w:r>
      <w:r w:rsidRPr="00DD3825">
        <w:t xml:space="preserve"> in </w:t>
      </w:r>
      <w:r w:rsidRPr="00DD3825">
        <w:fldChar w:fldCharType="begin"/>
      </w:r>
      <w:r w:rsidRPr="00DD3825">
        <w:instrText xml:space="preserve"> REF _Ref384192027 \h </w:instrText>
      </w:r>
      <w:r w:rsidR="00DD3825">
        <w:instrText xml:space="preserve"> \* MERGEFORMAT </w:instrText>
      </w:r>
      <w:r w:rsidRPr="00DD3825">
        <w:fldChar w:fldCharType="separate"/>
      </w:r>
      <w:r w:rsidR="00B424F3" w:rsidRPr="00DD3825">
        <w:t xml:space="preserve">Table </w:t>
      </w:r>
      <w:r w:rsidR="00B424F3">
        <w:rPr>
          <w:noProof/>
        </w:rPr>
        <w:t>3</w:t>
      </w:r>
      <w:r w:rsidRPr="00DD3825">
        <w:fldChar w:fldCharType="end"/>
      </w:r>
      <w:r w:rsidRPr="00DD3825">
        <w:t xml:space="preserve">, however the measure is applicable in any commercial building or activity area within where it reduces the overall amount of outside ventilation air that is supplied to the space. The </w:t>
      </w:r>
      <w:r w:rsidR="00694DE4" w:rsidRPr="00DD3825">
        <w:t>UES</w:t>
      </w:r>
      <w:r w:rsidRPr="00DD3825">
        <w:t xml:space="preserve"> estimates are provided by building type, and include savings for a mix of the activity area types for which the measure results in a reduction in the allowable minimum outside air ventilation required per Title 24 2013 §120.1</w:t>
      </w:r>
      <w:bookmarkStart w:id="43" w:name="_Ref384193100"/>
      <w:r w:rsidRPr="00DD3825">
        <w:rPr>
          <w:rStyle w:val="EndnoteReference"/>
        </w:rPr>
        <w:endnoteReference w:id="1"/>
      </w:r>
      <w:bookmarkEnd w:id="43"/>
      <w:r w:rsidR="00C85064" w:rsidRPr="00C85064">
        <w:rPr>
          <w:vertAlign w:val="superscript"/>
        </w:rPr>
        <w:t>,</w:t>
      </w:r>
      <w:r w:rsidR="00C85064" w:rsidRPr="00DD3825">
        <w:rPr>
          <w:rStyle w:val="EndnoteReference"/>
        </w:rPr>
        <w:endnoteReference w:id="2"/>
      </w:r>
      <w:r w:rsidRPr="00DD3825">
        <w:t xml:space="preserve">. The building type that contains activity areas that are closest to the actual application in terms of weekly occupied </w:t>
      </w:r>
      <w:r w:rsidR="004A64C2" w:rsidRPr="00DD3825">
        <w:t xml:space="preserve">hours and peak occupant density shown in </w:t>
      </w:r>
      <w:r w:rsidR="004A64C2" w:rsidRPr="00DD3825">
        <w:fldChar w:fldCharType="begin"/>
      </w:r>
      <w:r w:rsidR="004A64C2" w:rsidRPr="00DD3825">
        <w:instrText xml:space="preserve"> REF _Ref384192027 \h </w:instrText>
      </w:r>
      <w:r w:rsidR="00DD3825">
        <w:instrText xml:space="preserve"> \* MERGEFORMAT </w:instrText>
      </w:r>
      <w:r w:rsidR="004A64C2" w:rsidRPr="00DD3825">
        <w:fldChar w:fldCharType="separate"/>
      </w:r>
      <w:r w:rsidR="00B424F3" w:rsidRPr="00DD3825">
        <w:t xml:space="preserve">Table </w:t>
      </w:r>
      <w:r w:rsidR="00B424F3">
        <w:rPr>
          <w:noProof/>
        </w:rPr>
        <w:t>3</w:t>
      </w:r>
      <w:r w:rsidR="004A64C2" w:rsidRPr="00DD3825">
        <w:fldChar w:fldCharType="end"/>
      </w:r>
      <w:r w:rsidR="004A64C2" w:rsidRPr="00DD3825">
        <w:t xml:space="preserve"> </w:t>
      </w:r>
      <w:r w:rsidRPr="00DD3825">
        <w:t xml:space="preserve">shall be selected as a proxy for UES estimation. </w:t>
      </w:r>
      <w:r w:rsidR="004A64C2" w:rsidRPr="00DD3825">
        <w:t xml:space="preserve">Values in </w:t>
      </w:r>
      <w:r w:rsidR="004A64C2" w:rsidRPr="00DD3825">
        <w:fldChar w:fldCharType="begin"/>
      </w:r>
      <w:r w:rsidR="004A64C2" w:rsidRPr="00DD3825">
        <w:instrText xml:space="preserve"> REF _Ref384192027 \h </w:instrText>
      </w:r>
      <w:r w:rsidR="00DD3825">
        <w:instrText xml:space="preserve"> \* MERGEFORMAT </w:instrText>
      </w:r>
      <w:r w:rsidR="004A64C2" w:rsidRPr="00DD3825">
        <w:fldChar w:fldCharType="separate"/>
      </w:r>
      <w:r w:rsidR="00B424F3" w:rsidRPr="00DD3825">
        <w:t xml:space="preserve">Table </w:t>
      </w:r>
      <w:r w:rsidR="00B424F3">
        <w:rPr>
          <w:noProof/>
        </w:rPr>
        <w:t>3</w:t>
      </w:r>
      <w:r w:rsidR="004A64C2" w:rsidRPr="00DD3825">
        <w:fldChar w:fldCharType="end"/>
      </w:r>
      <w:r w:rsidR="004A64C2" w:rsidRPr="00DD3825">
        <w:t xml:space="preserve"> were extracted from default DEER prototype data</w:t>
      </w:r>
      <w:r w:rsidR="00071053" w:rsidRPr="00DD3825">
        <w:rPr>
          <w:rStyle w:val="FootnoteReference"/>
        </w:rPr>
        <w:footnoteReference w:id="1"/>
      </w:r>
      <w:r w:rsidR="004A64C2" w:rsidRPr="00DD3825">
        <w:t xml:space="preserve">. </w:t>
      </w:r>
      <w:r w:rsidRPr="00DD3825">
        <w:t xml:space="preserve">It is expected that some contractor discretion will be required when selecting proxy building types for building types that are not explicitly included, and the UES values shall not be considered in the decision. Rebates are not dependent on UES values, so there is not a monetary motivation for the contractor to select one building type proxy over another due to it having a higher UES value. </w:t>
      </w:r>
    </w:p>
    <w:p w:rsidR="00A70B62" w:rsidRPr="00DD3825" w:rsidRDefault="00A70B62" w:rsidP="00A70B62"/>
    <w:p w:rsidR="00A70B62" w:rsidRPr="00DD3825" w:rsidRDefault="00A70B62" w:rsidP="00A70B62">
      <w:pPr>
        <w:pStyle w:val="Caption"/>
        <w:keepNext/>
        <w:jc w:val="center"/>
      </w:pPr>
      <w:bookmarkStart w:id="44" w:name="_Ref384192027"/>
      <w:bookmarkStart w:id="45" w:name="_Toc386811743"/>
      <w:r w:rsidRPr="00DD3825">
        <w:t xml:space="preserve">Table </w:t>
      </w:r>
      <w:r w:rsidR="00FF41C5">
        <w:fldChar w:fldCharType="begin"/>
      </w:r>
      <w:r w:rsidR="00FF41C5">
        <w:instrText xml:space="preserve"> SEQ Table \* ARABIC </w:instrText>
      </w:r>
      <w:r w:rsidR="00FF41C5">
        <w:fldChar w:fldCharType="separate"/>
      </w:r>
      <w:r w:rsidR="00B424F3">
        <w:rPr>
          <w:noProof/>
        </w:rPr>
        <w:t>3</w:t>
      </w:r>
      <w:r w:rsidR="00FF41C5">
        <w:rPr>
          <w:noProof/>
        </w:rPr>
        <w:fldChar w:fldCharType="end"/>
      </w:r>
      <w:bookmarkEnd w:id="44"/>
      <w:r w:rsidRPr="00DD3825">
        <w:t xml:space="preserve"> - Building Types and Activity Area Types Simulated</w:t>
      </w:r>
      <w:bookmarkEnd w:id="45"/>
    </w:p>
    <w:tbl>
      <w:tblPr>
        <w:tblStyle w:val="PGEWorkPaper"/>
        <w:tblW w:w="7937" w:type="dxa"/>
        <w:jc w:val="center"/>
        <w:tblLook w:val="04A0" w:firstRow="1" w:lastRow="0" w:firstColumn="1" w:lastColumn="0" w:noHBand="0" w:noVBand="1"/>
      </w:tblPr>
      <w:tblGrid>
        <w:gridCol w:w="1096"/>
        <w:gridCol w:w="3018"/>
        <w:gridCol w:w="1902"/>
        <w:gridCol w:w="1921"/>
      </w:tblGrid>
      <w:tr w:rsidR="00DF3B79" w:rsidRPr="00DD3825" w:rsidTr="00A57BA4">
        <w:trPr>
          <w:cnfStyle w:val="100000000000" w:firstRow="1" w:lastRow="0" w:firstColumn="0" w:lastColumn="0" w:oddVBand="0" w:evenVBand="0" w:oddHBand="0" w:evenHBand="0" w:firstRowFirstColumn="0" w:firstRowLastColumn="0" w:lastRowFirstColumn="0" w:lastRowLastColumn="0"/>
          <w:trHeight w:val="702"/>
          <w:jc w:val="center"/>
        </w:trPr>
        <w:tc>
          <w:tcPr>
            <w:tcW w:w="1096" w:type="dxa"/>
            <w:noWrap/>
            <w:hideMark/>
          </w:tcPr>
          <w:p w:rsidR="00DF3B79" w:rsidRPr="00DD3825" w:rsidRDefault="00DF3B79" w:rsidP="00A57BA4">
            <w:pPr>
              <w:rPr>
                <w:color w:val="auto"/>
              </w:rPr>
            </w:pPr>
            <w:r w:rsidRPr="00DD3825">
              <w:rPr>
                <w:color w:val="auto"/>
              </w:rPr>
              <w:t>Building Type Code</w:t>
            </w:r>
          </w:p>
        </w:tc>
        <w:tc>
          <w:tcPr>
            <w:tcW w:w="3018" w:type="dxa"/>
            <w:noWrap/>
            <w:hideMark/>
          </w:tcPr>
          <w:p w:rsidR="00DF3B79" w:rsidRPr="00DD3825" w:rsidRDefault="00DF3B79" w:rsidP="00A57BA4">
            <w:pPr>
              <w:rPr>
                <w:color w:val="auto"/>
              </w:rPr>
            </w:pPr>
            <w:r w:rsidRPr="00DD3825">
              <w:rPr>
                <w:color w:val="auto"/>
              </w:rPr>
              <w:t>Activity Area Type</w:t>
            </w:r>
          </w:p>
        </w:tc>
        <w:tc>
          <w:tcPr>
            <w:tcW w:w="1902" w:type="dxa"/>
            <w:hideMark/>
          </w:tcPr>
          <w:p w:rsidR="00DF3B79" w:rsidRPr="00DD3825" w:rsidRDefault="00DF3B79" w:rsidP="00A57BA4">
            <w:pPr>
              <w:rPr>
                <w:color w:val="auto"/>
              </w:rPr>
            </w:pPr>
            <w:r w:rsidRPr="00DD3825">
              <w:rPr>
                <w:color w:val="auto"/>
              </w:rPr>
              <w:t>Weekly Occupied Hours</w:t>
            </w:r>
          </w:p>
        </w:tc>
        <w:tc>
          <w:tcPr>
            <w:tcW w:w="1921" w:type="dxa"/>
            <w:hideMark/>
          </w:tcPr>
          <w:p w:rsidR="00DF3B79" w:rsidRPr="00DD3825" w:rsidRDefault="00DF3B79" w:rsidP="00A57BA4">
            <w:pPr>
              <w:rPr>
                <w:color w:val="auto"/>
              </w:rPr>
            </w:pPr>
            <w:r w:rsidRPr="00DD3825">
              <w:rPr>
                <w:color w:val="auto"/>
              </w:rPr>
              <w:t>Peak Occupant Density (people per kSF)</w:t>
            </w:r>
          </w:p>
        </w:tc>
      </w:tr>
      <w:tr w:rsidR="00DF3B79" w:rsidRPr="00DD3825" w:rsidTr="00A57BA4">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noWrap/>
            <w:hideMark/>
          </w:tcPr>
          <w:p w:rsidR="00DF3B79" w:rsidRPr="00DD3825" w:rsidRDefault="00DF3B79" w:rsidP="00A57BA4">
            <w:r w:rsidRPr="00DD3825">
              <w:t>Asm</w:t>
            </w:r>
          </w:p>
        </w:tc>
        <w:tc>
          <w:tcPr>
            <w:tcW w:w="3018" w:type="dxa"/>
            <w:noWrap/>
            <w:hideMark/>
          </w:tcPr>
          <w:p w:rsidR="00DF3B79" w:rsidRPr="00DD3825" w:rsidRDefault="00DF3B79" w:rsidP="00A57BA4">
            <w:r w:rsidRPr="00DD3825">
              <w:t>Auditorium</w:t>
            </w:r>
          </w:p>
        </w:tc>
        <w:tc>
          <w:tcPr>
            <w:tcW w:w="1902" w:type="dxa"/>
            <w:hideMark/>
          </w:tcPr>
          <w:p w:rsidR="00DF3B79" w:rsidRPr="00DD3825" w:rsidRDefault="00DF3B79" w:rsidP="00A57BA4">
            <w:pPr>
              <w:rPr>
                <w:rFonts w:cs="Arial"/>
                <w:szCs w:val="22"/>
              </w:rPr>
            </w:pPr>
            <w:r w:rsidRPr="00DD3825">
              <w:rPr>
                <w:rFonts w:cs="Arial"/>
                <w:szCs w:val="22"/>
              </w:rPr>
              <w:t>98</w:t>
            </w:r>
          </w:p>
        </w:tc>
        <w:tc>
          <w:tcPr>
            <w:tcW w:w="1921" w:type="dxa"/>
            <w:hideMark/>
          </w:tcPr>
          <w:p w:rsidR="00DF3B79" w:rsidRPr="00DD3825" w:rsidRDefault="00DF3B79" w:rsidP="00A57BA4">
            <w:pPr>
              <w:rPr>
                <w:rFonts w:cs="Arial"/>
                <w:szCs w:val="22"/>
              </w:rPr>
            </w:pPr>
            <w:r w:rsidRPr="00DD3825">
              <w:rPr>
                <w:rFonts w:cs="Arial"/>
                <w:szCs w:val="22"/>
              </w:rPr>
              <w:t>95.2</w:t>
            </w:r>
          </w:p>
        </w:tc>
      </w:tr>
      <w:tr w:rsidR="00DF3B79" w:rsidRPr="00DD3825" w:rsidTr="00A57BA4">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noWrap/>
            <w:hideMark/>
          </w:tcPr>
          <w:p w:rsidR="00DF3B79" w:rsidRPr="00DD3825" w:rsidRDefault="00DF3B79" w:rsidP="00A57BA4">
            <w:r w:rsidRPr="00DD3825">
              <w:t>EPr</w:t>
            </w:r>
          </w:p>
        </w:tc>
        <w:tc>
          <w:tcPr>
            <w:tcW w:w="3018" w:type="dxa"/>
            <w:noWrap/>
            <w:hideMark/>
          </w:tcPr>
          <w:p w:rsidR="00DF3B79" w:rsidRPr="00DD3825" w:rsidRDefault="00DF3B79" w:rsidP="00A57BA4">
            <w:r w:rsidRPr="00DD3825">
              <w:t>Classroom / Lecture</w:t>
            </w:r>
          </w:p>
        </w:tc>
        <w:tc>
          <w:tcPr>
            <w:tcW w:w="1902" w:type="dxa"/>
            <w:hideMark/>
          </w:tcPr>
          <w:p w:rsidR="00DF3B79" w:rsidRPr="00DD3825" w:rsidRDefault="00DF3B79" w:rsidP="00A57BA4">
            <w:pPr>
              <w:rPr>
                <w:rFonts w:cs="Arial"/>
                <w:szCs w:val="22"/>
              </w:rPr>
            </w:pPr>
            <w:r w:rsidRPr="00DD3825">
              <w:rPr>
                <w:rFonts w:cs="Arial"/>
                <w:szCs w:val="22"/>
              </w:rPr>
              <w:t>69</w:t>
            </w:r>
          </w:p>
        </w:tc>
        <w:tc>
          <w:tcPr>
            <w:tcW w:w="1921" w:type="dxa"/>
            <w:hideMark/>
          </w:tcPr>
          <w:p w:rsidR="00DF3B79" w:rsidRPr="00DD3825" w:rsidRDefault="00DF3B79" w:rsidP="00A57BA4">
            <w:pPr>
              <w:rPr>
                <w:rFonts w:cs="Arial"/>
                <w:szCs w:val="22"/>
              </w:rPr>
            </w:pPr>
            <w:r w:rsidRPr="00DD3825">
              <w:rPr>
                <w:rFonts w:cs="Arial"/>
                <w:szCs w:val="22"/>
              </w:rPr>
              <w:t>33.4</w:t>
            </w:r>
          </w:p>
        </w:tc>
      </w:tr>
      <w:tr w:rsidR="00DF3B79" w:rsidRPr="00DD3825" w:rsidTr="00A57BA4">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noWrap/>
            <w:hideMark/>
          </w:tcPr>
          <w:p w:rsidR="00DF3B79" w:rsidRPr="00DD3825" w:rsidRDefault="00DF3B79" w:rsidP="00A57BA4">
            <w:r w:rsidRPr="00DD3825">
              <w:t>EPr</w:t>
            </w:r>
          </w:p>
        </w:tc>
        <w:tc>
          <w:tcPr>
            <w:tcW w:w="3018" w:type="dxa"/>
            <w:noWrap/>
            <w:hideMark/>
          </w:tcPr>
          <w:p w:rsidR="00DF3B79" w:rsidRPr="00DD3825" w:rsidRDefault="00DF3B79" w:rsidP="00A57BA4">
            <w:r w:rsidRPr="00DD3825">
              <w:t>Dining Area</w:t>
            </w:r>
          </w:p>
        </w:tc>
        <w:tc>
          <w:tcPr>
            <w:tcW w:w="1902" w:type="dxa"/>
            <w:hideMark/>
          </w:tcPr>
          <w:p w:rsidR="00DF3B79" w:rsidRPr="00DD3825" w:rsidRDefault="00DF3B79" w:rsidP="00A57BA4">
            <w:pPr>
              <w:rPr>
                <w:rFonts w:cs="Arial"/>
                <w:szCs w:val="22"/>
              </w:rPr>
            </w:pPr>
            <w:r w:rsidRPr="00DD3825">
              <w:rPr>
                <w:rFonts w:cs="Arial"/>
                <w:szCs w:val="22"/>
              </w:rPr>
              <w:t>15</w:t>
            </w:r>
          </w:p>
        </w:tc>
        <w:tc>
          <w:tcPr>
            <w:tcW w:w="1921" w:type="dxa"/>
            <w:hideMark/>
          </w:tcPr>
          <w:p w:rsidR="00DF3B79" w:rsidRPr="00DD3825" w:rsidRDefault="00DF3B79" w:rsidP="00A57BA4">
            <w:pPr>
              <w:rPr>
                <w:rFonts w:cs="Arial"/>
                <w:szCs w:val="22"/>
              </w:rPr>
            </w:pPr>
            <w:r w:rsidRPr="00DD3825">
              <w:rPr>
                <w:rFonts w:cs="Arial"/>
                <w:szCs w:val="22"/>
              </w:rPr>
              <w:t>44.5</w:t>
            </w:r>
          </w:p>
        </w:tc>
      </w:tr>
      <w:tr w:rsidR="00DF3B79" w:rsidRPr="00DD3825" w:rsidTr="00A57BA4">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noWrap/>
            <w:hideMark/>
          </w:tcPr>
          <w:p w:rsidR="00DF3B79" w:rsidRPr="00DD3825" w:rsidRDefault="00DF3B79" w:rsidP="00A57BA4">
            <w:r w:rsidRPr="00DD3825">
              <w:t>EPr</w:t>
            </w:r>
          </w:p>
        </w:tc>
        <w:tc>
          <w:tcPr>
            <w:tcW w:w="3018" w:type="dxa"/>
            <w:noWrap/>
            <w:hideMark/>
          </w:tcPr>
          <w:p w:rsidR="00DF3B79" w:rsidRPr="00DD3825" w:rsidRDefault="00DF3B79" w:rsidP="00A57BA4">
            <w:r w:rsidRPr="00DD3825">
              <w:t>Exercising Center / Gym</w:t>
            </w:r>
          </w:p>
        </w:tc>
        <w:tc>
          <w:tcPr>
            <w:tcW w:w="1902" w:type="dxa"/>
            <w:hideMark/>
          </w:tcPr>
          <w:p w:rsidR="00DF3B79" w:rsidRPr="00DD3825" w:rsidRDefault="00DF3B79" w:rsidP="00A57BA4">
            <w:pPr>
              <w:rPr>
                <w:rFonts w:cs="Arial"/>
                <w:szCs w:val="22"/>
              </w:rPr>
            </w:pPr>
            <w:r w:rsidRPr="00DD3825">
              <w:rPr>
                <w:rFonts w:cs="Arial"/>
                <w:szCs w:val="22"/>
              </w:rPr>
              <w:t>55</w:t>
            </w:r>
          </w:p>
        </w:tc>
        <w:tc>
          <w:tcPr>
            <w:tcW w:w="1921" w:type="dxa"/>
            <w:hideMark/>
          </w:tcPr>
          <w:p w:rsidR="00DF3B79" w:rsidRPr="00DD3825" w:rsidRDefault="00DF3B79" w:rsidP="00A57BA4">
            <w:pPr>
              <w:rPr>
                <w:rFonts w:cs="Arial"/>
                <w:szCs w:val="22"/>
              </w:rPr>
            </w:pPr>
            <w:r w:rsidRPr="00DD3825">
              <w:rPr>
                <w:rFonts w:cs="Arial"/>
                <w:szCs w:val="22"/>
              </w:rPr>
              <w:t>13.3</w:t>
            </w:r>
          </w:p>
        </w:tc>
      </w:tr>
      <w:tr w:rsidR="00DF3B79" w:rsidRPr="00DD3825" w:rsidTr="00A57BA4">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noWrap/>
            <w:hideMark/>
          </w:tcPr>
          <w:p w:rsidR="00DF3B79" w:rsidRPr="00DD3825" w:rsidRDefault="00DF3B79" w:rsidP="00A57BA4">
            <w:r w:rsidRPr="00DD3825">
              <w:lastRenderedPageBreak/>
              <w:t>ERC</w:t>
            </w:r>
          </w:p>
        </w:tc>
        <w:tc>
          <w:tcPr>
            <w:tcW w:w="3018" w:type="dxa"/>
            <w:noWrap/>
            <w:hideMark/>
          </w:tcPr>
          <w:p w:rsidR="00DF3B79" w:rsidRPr="00DD3825" w:rsidRDefault="00DF3B79" w:rsidP="00A57BA4">
            <w:r w:rsidRPr="00DD3825">
              <w:t>Classroom / Lecture</w:t>
            </w:r>
          </w:p>
        </w:tc>
        <w:tc>
          <w:tcPr>
            <w:tcW w:w="1902" w:type="dxa"/>
            <w:hideMark/>
          </w:tcPr>
          <w:p w:rsidR="00DF3B79" w:rsidRPr="00DD3825" w:rsidRDefault="00DF3B79" w:rsidP="00A57BA4">
            <w:pPr>
              <w:rPr>
                <w:rFonts w:cs="Arial"/>
                <w:szCs w:val="22"/>
              </w:rPr>
            </w:pPr>
            <w:r w:rsidRPr="00DD3825">
              <w:rPr>
                <w:rFonts w:cs="Arial"/>
                <w:szCs w:val="22"/>
              </w:rPr>
              <w:t>69</w:t>
            </w:r>
          </w:p>
        </w:tc>
        <w:tc>
          <w:tcPr>
            <w:tcW w:w="1921" w:type="dxa"/>
            <w:hideMark/>
          </w:tcPr>
          <w:p w:rsidR="00DF3B79" w:rsidRPr="00DD3825" w:rsidRDefault="00DF3B79" w:rsidP="00A57BA4">
            <w:pPr>
              <w:rPr>
                <w:rFonts w:cs="Arial"/>
                <w:szCs w:val="22"/>
              </w:rPr>
            </w:pPr>
            <w:r w:rsidRPr="00DD3825">
              <w:rPr>
                <w:rFonts w:cs="Arial"/>
                <w:szCs w:val="22"/>
              </w:rPr>
              <w:t>33.3</w:t>
            </w:r>
          </w:p>
        </w:tc>
      </w:tr>
      <w:tr w:rsidR="00DF3B79" w:rsidRPr="00DD3825" w:rsidTr="00A57BA4">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noWrap/>
            <w:hideMark/>
          </w:tcPr>
          <w:p w:rsidR="00DF3B79" w:rsidRPr="00DD3825" w:rsidRDefault="00DF3B79" w:rsidP="00A57BA4">
            <w:r w:rsidRPr="00DD3825">
              <w:t>ESe</w:t>
            </w:r>
          </w:p>
        </w:tc>
        <w:tc>
          <w:tcPr>
            <w:tcW w:w="3018" w:type="dxa"/>
            <w:noWrap/>
            <w:hideMark/>
          </w:tcPr>
          <w:p w:rsidR="00DF3B79" w:rsidRPr="00DD3825" w:rsidRDefault="00DF3B79" w:rsidP="00A57BA4">
            <w:r w:rsidRPr="00DD3825">
              <w:t>Classroom / Lecture</w:t>
            </w:r>
          </w:p>
        </w:tc>
        <w:tc>
          <w:tcPr>
            <w:tcW w:w="1902" w:type="dxa"/>
            <w:hideMark/>
          </w:tcPr>
          <w:p w:rsidR="00DF3B79" w:rsidRPr="00DD3825" w:rsidRDefault="00DF3B79" w:rsidP="00A57BA4">
            <w:pPr>
              <w:rPr>
                <w:rFonts w:cs="Arial"/>
                <w:szCs w:val="22"/>
              </w:rPr>
            </w:pPr>
            <w:r w:rsidRPr="00DD3825">
              <w:rPr>
                <w:rFonts w:cs="Arial"/>
                <w:szCs w:val="22"/>
              </w:rPr>
              <w:t>69</w:t>
            </w:r>
          </w:p>
        </w:tc>
        <w:tc>
          <w:tcPr>
            <w:tcW w:w="1921" w:type="dxa"/>
            <w:hideMark/>
          </w:tcPr>
          <w:p w:rsidR="00DF3B79" w:rsidRPr="00DD3825" w:rsidRDefault="00DF3B79" w:rsidP="00A57BA4">
            <w:pPr>
              <w:rPr>
                <w:rFonts w:cs="Arial"/>
                <w:szCs w:val="22"/>
              </w:rPr>
            </w:pPr>
            <w:r w:rsidRPr="00DD3825">
              <w:rPr>
                <w:rFonts w:cs="Arial"/>
                <w:szCs w:val="22"/>
              </w:rPr>
              <w:t>33.3</w:t>
            </w:r>
          </w:p>
        </w:tc>
      </w:tr>
      <w:tr w:rsidR="00DF3B79" w:rsidRPr="00DD3825" w:rsidTr="00A57BA4">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noWrap/>
            <w:hideMark/>
          </w:tcPr>
          <w:p w:rsidR="00DF3B79" w:rsidRPr="00DD3825" w:rsidRDefault="00DF3B79" w:rsidP="00A57BA4">
            <w:r w:rsidRPr="00DD3825">
              <w:t>ESe</w:t>
            </w:r>
          </w:p>
        </w:tc>
        <w:tc>
          <w:tcPr>
            <w:tcW w:w="3018" w:type="dxa"/>
            <w:noWrap/>
            <w:hideMark/>
          </w:tcPr>
          <w:p w:rsidR="00DF3B79" w:rsidRPr="00DD3825" w:rsidRDefault="00DF3B79" w:rsidP="00A57BA4">
            <w:r w:rsidRPr="00DD3825">
              <w:t>Dining Area</w:t>
            </w:r>
          </w:p>
        </w:tc>
        <w:tc>
          <w:tcPr>
            <w:tcW w:w="1902" w:type="dxa"/>
            <w:hideMark/>
          </w:tcPr>
          <w:p w:rsidR="00DF3B79" w:rsidRPr="00DD3825" w:rsidRDefault="00DF3B79" w:rsidP="00A57BA4">
            <w:pPr>
              <w:rPr>
                <w:rFonts w:cs="Arial"/>
                <w:szCs w:val="22"/>
              </w:rPr>
            </w:pPr>
            <w:r w:rsidRPr="00DD3825">
              <w:rPr>
                <w:rFonts w:cs="Arial"/>
                <w:szCs w:val="22"/>
              </w:rPr>
              <w:t>59</w:t>
            </w:r>
          </w:p>
        </w:tc>
        <w:tc>
          <w:tcPr>
            <w:tcW w:w="1921" w:type="dxa"/>
            <w:hideMark/>
          </w:tcPr>
          <w:p w:rsidR="00DF3B79" w:rsidRPr="00DD3825" w:rsidRDefault="00DF3B79" w:rsidP="00A57BA4">
            <w:pPr>
              <w:rPr>
                <w:rFonts w:cs="Arial"/>
                <w:szCs w:val="22"/>
              </w:rPr>
            </w:pPr>
            <w:r w:rsidRPr="00DD3825">
              <w:rPr>
                <w:rFonts w:cs="Arial"/>
                <w:szCs w:val="22"/>
              </w:rPr>
              <w:t>44.5</w:t>
            </w:r>
          </w:p>
        </w:tc>
      </w:tr>
      <w:tr w:rsidR="00DF3B79" w:rsidRPr="00DD3825" w:rsidTr="00A57BA4">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noWrap/>
            <w:hideMark/>
          </w:tcPr>
          <w:p w:rsidR="00DF3B79" w:rsidRPr="00DD3825" w:rsidRDefault="00DF3B79" w:rsidP="00A57BA4">
            <w:r w:rsidRPr="00DD3825">
              <w:t>ESe</w:t>
            </w:r>
          </w:p>
        </w:tc>
        <w:tc>
          <w:tcPr>
            <w:tcW w:w="3018" w:type="dxa"/>
            <w:noWrap/>
            <w:hideMark/>
          </w:tcPr>
          <w:p w:rsidR="00DF3B79" w:rsidRPr="00DD3825" w:rsidRDefault="00DF3B79" w:rsidP="00A57BA4">
            <w:r w:rsidRPr="00DD3825">
              <w:t>Exercising Center / Gym</w:t>
            </w:r>
          </w:p>
        </w:tc>
        <w:tc>
          <w:tcPr>
            <w:tcW w:w="1902" w:type="dxa"/>
            <w:hideMark/>
          </w:tcPr>
          <w:p w:rsidR="00DF3B79" w:rsidRPr="00DD3825" w:rsidRDefault="00DF3B79" w:rsidP="00A57BA4">
            <w:pPr>
              <w:rPr>
                <w:rFonts w:cs="Arial"/>
                <w:szCs w:val="22"/>
              </w:rPr>
            </w:pPr>
            <w:r w:rsidRPr="00DD3825">
              <w:rPr>
                <w:rFonts w:cs="Arial"/>
                <w:szCs w:val="22"/>
              </w:rPr>
              <w:t>74</w:t>
            </w:r>
          </w:p>
        </w:tc>
        <w:tc>
          <w:tcPr>
            <w:tcW w:w="1921" w:type="dxa"/>
            <w:hideMark/>
          </w:tcPr>
          <w:p w:rsidR="00DF3B79" w:rsidRPr="00DD3825" w:rsidRDefault="00DF3B79" w:rsidP="00A57BA4">
            <w:pPr>
              <w:rPr>
                <w:rFonts w:cs="Arial"/>
                <w:szCs w:val="22"/>
              </w:rPr>
            </w:pPr>
            <w:r w:rsidRPr="00DD3825">
              <w:rPr>
                <w:rFonts w:cs="Arial"/>
                <w:szCs w:val="22"/>
              </w:rPr>
              <w:t>13.3</w:t>
            </w:r>
          </w:p>
        </w:tc>
      </w:tr>
      <w:tr w:rsidR="00DF3B79" w:rsidRPr="00DD3825" w:rsidTr="00A57BA4">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noWrap/>
            <w:hideMark/>
          </w:tcPr>
          <w:p w:rsidR="00DF3B79" w:rsidRPr="00DD3825" w:rsidRDefault="00DF3B79" w:rsidP="00A57BA4">
            <w:r w:rsidRPr="00DD3825">
              <w:t>ESe</w:t>
            </w:r>
          </w:p>
        </w:tc>
        <w:tc>
          <w:tcPr>
            <w:tcW w:w="3018" w:type="dxa"/>
            <w:noWrap/>
            <w:hideMark/>
          </w:tcPr>
          <w:p w:rsidR="00DF3B79" w:rsidRPr="00DD3825" w:rsidRDefault="00DF3B79" w:rsidP="00A57BA4">
            <w:r w:rsidRPr="00DD3825">
              <w:t>Classroom / Lecture (93%)</w:t>
            </w:r>
          </w:p>
        </w:tc>
        <w:tc>
          <w:tcPr>
            <w:tcW w:w="1902" w:type="dxa"/>
            <w:hideMark/>
          </w:tcPr>
          <w:p w:rsidR="00DF3B79" w:rsidRPr="00DD3825" w:rsidRDefault="00DF3B79" w:rsidP="00A57BA4">
            <w:pPr>
              <w:rPr>
                <w:rFonts w:cs="Arial"/>
                <w:szCs w:val="22"/>
              </w:rPr>
            </w:pPr>
            <w:r w:rsidRPr="00DD3825">
              <w:rPr>
                <w:rFonts w:cs="Arial"/>
                <w:szCs w:val="22"/>
              </w:rPr>
              <w:t>69</w:t>
            </w:r>
          </w:p>
        </w:tc>
        <w:tc>
          <w:tcPr>
            <w:tcW w:w="1921" w:type="dxa"/>
            <w:hideMark/>
          </w:tcPr>
          <w:p w:rsidR="00DF3B79" w:rsidRPr="00DD3825" w:rsidRDefault="00DF3B79" w:rsidP="00A57BA4">
            <w:pPr>
              <w:rPr>
                <w:rFonts w:cs="Arial"/>
                <w:szCs w:val="22"/>
              </w:rPr>
            </w:pPr>
            <w:r w:rsidRPr="00DD3825">
              <w:rPr>
                <w:rFonts w:cs="Arial"/>
                <w:szCs w:val="22"/>
              </w:rPr>
              <w:t>31.5</w:t>
            </w:r>
          </w:p>
        </w:tc>
      </w:tr>
      <w:tr w:rsidR="00DF3B79" w:rsidRPr="00DD3825" w:rsidTr="00A57BA4">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noWrap/>
            <w:hideMark/>
          </w:tcPr>
          <w:p w:rsidR="00DF3B79" w:rsidRPr="00DD3825" w:rsidRDefault="00DF3B79" w:rsidP="00A57BA4">
            <w:r w:rsidRPr="00DD3825">
              <w:t>ESe</w:t>
            </w:r>
          </w:p>
        </w:tc>
        <w:tc>
          <w:tcPr>
            <w:tcW w:w="3018" w:type="dxa"/>
            <w:noWrap/>
            <w:hideMark/>
          </w:tcPr>
          <w:p w:rsidR="00DF3B79" w:rsidRPr="00DD3825" w:rsidRDefault="00DF3B79" w:rsidP="00A57BA4">
            <w:r w:rsidRPr="00DD3825">
              <w:t>Computer (Instruc/PC Lab)</w:t>
            </w:r>
          </w:p>
        </w:tc>
        <w:tc>
          <w:tcPr>
            <w:tcW w:w="1902" w:type="dxa"/>
            <w:hideMark/>
          </w:tcPr>
          <w:p w:rsidR="00DF3B79" w:rsidRPr="00DD3825" w:rsidRDefault="00DF3B79" w:rsidP="00A57BA4">
            <w:pPr>
              <w:rPr>
                <w:rFonts w:cs="Arial"/>
                <w:szCs w:val="22"/>
              </w:rPr>
            </w:pPr>
            <w:r w:rsidRPr="00DD3825">
              <w:rPr>
                <w:rFonts w:cs="Arial"/>
                <w:szCs w:val="22"/>
              </w:rPr>
              <w:t>69</w:t>
            </w:r>
          </w:p>
        </w:tc>
        <w:tc>
          <w:tcPr>
            <w:tcW w:w="1921" w:type="dxa"/>
            <w:hideMark/>
          </w:tcPr>
          <w:p w:rsidR="00DF3B79" w:rsidRPr="00DD3825" w:rsidRDefault="00DF3B79" w:rsidP="00A57BA4">
            <w:pPr>
              <w:rPr>
                <w:rFonts w:cs="Arial"/>
                <w:szCs w:val="22"/>
              </w:rPr>
            </w:pPr>
            <w:r w:rsidRPr="00DD3825">
              <w:rPr>
                <w:rFonts w:cs="Arial"/>
                <w:szCs w:val="22"/>
              </w:rPr>
              <w:t>13.0</w:t>
            </w:r>
          </w:p>
        </w:tc>
      </w:tr>
      <w:tr w:rsidR="00DF3B79" w:rsidRPr="00DD3825" w:rsidTr="00A57BA4">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noWrap/>
            <w:hideMark/>
          </w:tcPr>
          <w:p w:rsidR="00DF3B79" w:rsidRPr="00DD3825" w:rsidRDefault="00DF3B79" w:rsidP="00A57BA4">
            <w:r w:rsidRPr="00DD3825">
              <w:t>EUn</w:t>
            </w:r>
          </w:p>
        </w:tc>
        <w:tc>
          <w:tcPr>
            <w:tcW w:w="3018" w:type="dxa"/>
            <w:noWrap/>
            <w:hideMark/>
          </w:tcPr>
          <w:p w:rsidR="00DF3B79" w:rsidRPr="00DD3825" w:rsidRDefault="00DF3B79" w:rsidP="00A57BA4">
            <w:r w:rsidRPr="00DD3825">
              <w:t>Classroom / Lecture</w:t>
            </w:r>
          </w:p>
        </w:tc>
        <w:tc>
          <w:tcPr>
            <w:tcW w:w="1902" w:type="dxa"/>
            <w:hideMark/>
          </w:tcPr>
          <w:p w:rsidR="00DF3B79" w:rsidRPr="00DD3825" w:rsidRDefault="00DF3B79" w:rsidP="00A57BA4">
            <w:pPr>
              <w:rPr>
                <w:rFonts w:cs="Arial"/>
                <w:szCs w:val="22"/>
              </w:rPr>
            </w:pPr>
            <w:r w:rsidRPr="00DD3825">
              <w:rPr>
                <w:rFonts w:cs="Arial"/>
                <w:szCs w:val="22"/>
              </w:rPr>
              <w:t>99</w:t>
            </w:r>
          </w:p>
        </w:tc>
        <w:tc>
          <w:tcPr>
            <w:tcW w:w="1921" w:type="dxa"/>
            <w:hideMark/>
          </w:tcPr>
          <w:p w:rsidR="00DF3B79" w:rsidRPr="00DD3825" w:rsidRDefault="00DF3B79" w:rsidP="00A57BA4">
            <w:pPr>
              <w:rPr>
                <w:rFonts w:cs="Arial"/>
                <w:szCs w:val="22"/>
              </w:rPr>
            </w:pPr>
            <w:r w:rsidRPr="00DD3825">
              <w:rPr>
                <w:rFonts w:cs="Arial"/>
                <w:szCs w:val="22"/>
              </w:rPr>
              <w:t>33.3</w:t>
            </w:r>
          </w:p>
        </w:tc>
      </w:tr>
      <w:tr w:rsidR="00DF3B79" w:rsidRPr="00DD3825" w:rsidTr="00A57BA4">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noWrap/>
            <w:hideMark/>
          </w:tcPr>
          <w:p w:rsidR="00DF3B79" w:rsidRPr="00DD3825" w:rsidRDefault="00DF3B79" w:rsidP="00A57BA4">
            <w:r w:rsidRPr="00DD3825">
              <w:t>EUn</w:t>
            </w:r>
          </w:p>
        </w:tc>
        <w:tc>
          <w:tcPr>
            <w:tcW w:w="3018" w:type="dxa"/>
            <w:noWrap/>
            <w:hideMark/>
          </w:tcPr>
          <w:p w:rsidR="00DF3B79" w:rsidRPr="00DD3825" w:rsidRDefault="00DF3B79" w:rsidP="00A57BA4">
            <w:r w:rsidRPr="00DD3825">
              <w:t>Dining Area</w:t>
            </w:r>
          </w:p>
        </w:tc>
        <w:tc>
          <w:tcPr>
            <w:tcW w:w="1902" w:type="dxa"/>
            <w:hideMark/>
          </w:tcPr>
          <w:p w:rsidR="00DF3B79" w:rsidRPr="00DD3825" w:rsidRDefault="00DF3B79" w:rsidP="00A57BA4">
            <w:pPr>
              <w:rPr>
                <w:rFonts w:cs="Arial"/>
                <w:szCs w:val="22"/>
              </w:rPr>
            </w:pPr>
            <w:r w:rsidRPr="00DD3825">
              <w:rPr>
                <w:rFonts w:cs="Arial"/>
                <w:szCs w:val="22"/>
              </w:rPr>
              <w:t>40</w:t>
            </w:r>
          </w:p>
        </w:tc>
        <w:tc>
          <w:tcPr>
            <w:tcW w:w="1921" w:type="dxa"/>
            <w:hideMark/>
          </w:tcPr>
          <w:p w:rsidR="00DF3B79" w:rsidRPr="00DD3825" w:rsidRDefault="00DF3B79" w:rsidP="00A57BA4">
            <w:pPr>
              <w:rPr>
                <w:rFonts w:cs="Arial"/>
                <w:szCs w:val="22"/>
              </w:rPr>
            </w:pPr>
            <w:r w:rsidRPr="00DD3825">
              <w:rPr>
                <w:rFonts w:cs="Arial"/>
                <w:szCs w:val="22"/>
              </w:rPr>
              <w:t>44.5</w:t>
            </w:r>
          </w:p>
        </w:tc>
      </w:tr>
      <w:tr w:rsidR="00DF3B79" w:rsidRPr="00DD3825" w:rsidTr="00A57BA4">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noWrap/>
            <w:hideMark/>
          </w:tcPr>
          <w:p w:rsidR="00DF3B79" w:rsidRPr="00DD3825" w:rsidRDefault="00DF3B79" w:rsidP="00A57BA4">
            <w:r w:rsidRPr="00DD3825">
              <w:t>EUn</w:t>
            </w:r>
          </w:p>
        </w:tc>
        <w:tc>
          <w:tcPr>
            <w:tcW w:w="3018" w:type="dxa"/>
            <w:noWrap/>
            <w:hideMark/>
          </w:tcPr>
          <w:p w:rsidR="00DF3B79" w:rsidRPr="00DD3825" w:rsidRDefault="00DF3B79" w:rsidP="00A57BA4">
            <w:r w:rsidRPr="00DD3825">
              <w:t>Computer (Instruc/PC Lab)</w:t>
            </w:r>
          </w:p>
        </w:tc>
        <w:tc>
          <w:tcPr>
            <w:tcW w:w="1902" w:type="dxa"/>
            <w:hideMark/>
          </w:tcPr>
          <w:p w:rsidR="00DF3B79" w:rsidRPr="00DD3825" w:rsidRDefault="00DF3B79" w:rsidP="00A57BA4">
            <w:pPr>
              <w:rPr>
                <w:rFonts w:cs="Arial"/>
                <w:szCs w:val="22"/>
              </w:rPr>
            </w:pPr>
            <w:r w:rsidRPr="00DD3825">
              <w:rPr>
                <w:rFonts w:cs="Arial"/>
                <w:szCs w:val="22"/>
              </w:rPr>
              <w:t>55</w:t>
            </w:r>
          </w:p>
        </w:tc>
        <w:tc>
          <w:tcPr>
            <w:tcW w:w="1921" w:type="dxa"/>
            <w:hideMark/>
          </w:tcPr>
          <w:p w:rsidR="00DF3B79" w:rsidRPr="00DD3825" w:rsidRDefault="00DF3B79" w:rsidP="00A57BA4">
            <w:pPr>
              <w:rPr>
                <w:rFonts w:cs="Arial"/>
                <w:szCs w:val="22"/>
              </w:rPr>
            </w:pPr>
            <w:r w:rsidRPr="00DD3825">
              <w:rPr>
                <w:rFonts w:cs="Arial"/>
                <w:szCs w:val="22"/>
              </w:rPr>
              <w:t>13.3</w:t>
            </w:r>
          </w:p>
        </w:tc>
      </w:tr>
      <w:tr w:rsidR="00DF3B79" w:rsidRPr="00DD3825" w:rsidTr="00A57BA4">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noWrap/>
            <w:hideMark/>
          </w:tcPr>
          <w:p w:rsidR="00DF3B79" w:rsidRPr="00DD3825" w:rsidRDefault="00DF3B79" w:rsidP="00A57BA4">
            <w:r w:rsidRPr="00DD3825">
              <w:t>GRo</w:t>
            </w:r>
          </w:p>
        </w:tc>
        <w:tc>
          <w:tcPr>
            <w:tcW w:w="3018" w:type="dxa"/>
            <w:noWrap/>
            <w:hideMark/>
          </w:tcPr>
          <w:p w:rsidR="00DF3B79" w:rsidRPr="00DD3825" w:rsidRDefault="00DF3B79" w:rsidP="00A57BA4">
            <w:r w:rsidRPr="00DD3825">
              <w:t>Retail Sales, Grocery</w:t>
            </w:r>
          </w:p>
        </w:tc>
        <w:tc>
          <w:tcPr>
            <w:tcW w:w="1902" w:type="dxa"/>
            <w:hideMark/>
          </w:tcPr>
          <w:p w:rsidR="00DF3B79" w:rsidRPr="00DD3825" w:rsidRDefault="00DF3B79" w:rsidP="00A57BA4">
            <w:pPr>
              <w:rPr>
                <w:rFonts w:cs="Arial"/>
                <w:szCs w:val="22"/>
              </w:rPr>
            </w:pPr>
            <w:r w:rsidRPr="00DD3825">
              <w:rPr>
                <w:rFonts w:cs="Arial"/>
                <w:szCs w:val="22"/>
              </w:rPr>
              <w:t>112</w:t>
            </w:r>
          </w:p>
        </w:tc>
        <w:tc>
          <w:tcPr>
            <w:tcW w:w="1921" w:type="dxa"/>
            <w:hideMark/>
          </w:tcPr>
          <w:p w:rsidR="00DF3B79" w:rsidRPr="00DD3825" w:rsidRDefault="00DF3B79" w:rsidP="00A57BA4">
            <w:pPr>
              <w:rPr>
                <w:rFonts w:cs="Arial"/>
                <w:szCs w:val="22"/>
              </w:rPr>
            </w:pPr>
            <w:r w:rsidRPr="00DD3825">
              <w:rPr>
                <w:rFonts w:cs="Arial"/>
                <w:szCs w:val="22"/>
              </w:rPr>
              <w:t>22.2</w:t>
            </w:r>
          </w:p>
        </w:tc>
      </w:tr>
      <w:tr w:rsidR="00DF3B79" w:rsidRPr="00DD3825" w:rsidTr="00A57BA4">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noWrap/>
            <w:hideMark/>
          </w:tcPr>
          <w:p w:rsidR="00DF3B79" w:rsidRPr="00DD3825" w:rsidRDefault="00DF3B79" w:rsidP="00A57BA4">
            <w:r w:rsidRPr="00DD3825">
              <w:t>Hsp</w:t>
            </w:r>
          </w:p>
        </w:tc>
        <w:tc>
          <w:tcPr>
            <w:tcW w:w="3018" w:type="dxa"/>
            <w:noWrap/>
            <w:hideMark/>
          </w:tcPr>
          <w:p w:rsidR="00DF3B79" w:rsidRPr="00DD3825" w:rsidRDefault="00DF3B79" w:rsidP="00A57BA4">
            <w:r w:rsidRPr="00DD3825">
              <w:t>Dining Area</w:t>
            </w:r>
          </w:p>
        </w:tc>
        <w:tc>
          <w:tcPr>
            <w:tcW w:w="1902" w:type="dxa"/>
            <w:hideMark/>
          </w:tcPr>
          <w:p w:rsidR="00DF3B79" w:rsidRPr="00DD3825" w:rsidRDefault="00DF3B79" w:rsidP="00A57BA4">
            <w:pPr>
              <w:rPr>
                <w:rFonts w:cs="Arial"/>
                <w:szCs w:val="22"/>
              </w:rPr>
            </w:pPr>
            <w:r w:rsidRPr="00DD3825">
              <w:rPr>
                <w:rFonts w:cs="Arial"/>
                <w:szCs w:val="22"/>
              </w:rPr>
              <w:t>168</w:t>
            </w:r>
          </w:p>
        </w:tc>
        <w:tc>
          <w:tcPr>
            <w:tcW w:w="1921" w:type="dxa"/>
            <w:hideMark/>
          </w:tcPr>
          <w:p w:rsidR="00DF3B79" w:rsidRPr="00DD3825" w:rsidRDefault="00DF3B79" w:rsidP="00A57BA4">
            <w:pPr>
              <w:rPr>
                <w:rFonts w:cs="Arial"/>
                <w:szCs w:val="22"/>
              </w:rPr>
            </w:pPr>
            <w:r w:rsidRPr="00DD3825">
              <w:rPr>
                <w:rFonts w:cs="Arial"/>
                <w:szCs w:val="22"/>
              </w:rPr>
              <w:t>44.3</w:t>
            </w:r>
          </w:p>
        </w:tc>
      </w:tr>
      <w:tr w:rsidR="00DF3B79" w:rsidRPr="00DD3825" w:rsidTr="00A57BA4">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noWrap/>
            <w:hideMark/>
          </w:tcPr>
          <w:p w:rsidR="00DF3B79" w:rsidRPr="00DD3825" w:rsidRDefault="00DF3B79" w:rsidP="00A57BA4">
            <w:r w:rsidRPr="00DD3825">
              <w:t>Hsp</w:t>
            </w:r>
          </w:p>
        </w:tc>
        <w:tc>
          <w:tcPr>
            <w:tcW w:w="3018" w:type="dxa"/>
            <w:noWrap/>
            <w:hideMark/>
          </w:tcPr>
          <w:p w:rsidR="00DF3B79" w:rsidRPr="00DD3825" w:rsidRDefault="00DF3B79" w:rsidP="00A57BA4">
            <w:r w:rsidRPr="00DD3825">
              <w:t>Laboratory, Medical</w:t>
            </w:r>
          </w:p>
        </w:tc>
        <w:tc>
          <w:tcPr>
            <w:tcW w:w="1902" w:type="dxa"/>
            <w:hideMark/>
          </w:tcPr>
          <w:p w:rsidR="00DF3B79" w:rsidRPr="00DD3825" w:rsidRDefault="00DF3B79" w:rsidP="00A57BA4">
            <w:pPr>
              <w:rPr>
                <w:rFonts w:cs="Arial"/>
                <w:szCs w:val="22"/>
              </w:rPr>
            </w:pPr>
            <w:r w:rsidRPr="00DD3825">
              <w:rPr>
                <w:rFonts w:cs="Arial"/>
                <w:szCs w:val="22"/>
              </w:rPr>
              <w:t>168</w:t>
            </w:r>
          </w:p>
        </w:tc>
        <w:tc>
          <w:tcPr>
            <w:tcW w:w="1921" w:type="dxa"/>
            <w:hideMark/>
          </w:tcPr>
          <w:p w:rsidR="00DF3B79" w:rsidRPr="00DD3825" w:rsidRDefault="00DF3B79" w:rsidP="00A57BA4">
            <w:pPr>
              <w:rPr>
                <w:rFonts w:cs="Arial"/>
                <w:szCs w:val="22"/>
              </w:rPr>
            </w:pPr>
            <w:r w:rsidRPr="00DD3825">
              <w:rPr>
                <w:rFonts w:cs="Arial"/>
                <w:szCs w:val="22"/>
              </w:rPr>
              <w:t>13.6</w:t>
            </w:r>
          </w:p>
        </w:tc>
      </w:tr>
      <w:tr w:rsidR="00DF3B79" w:rsidRPr="00DD3825" w:rsidTr="00A57BA4">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noWrap/>
            <w:hideMark/>
          </w:tcPr>
          <w:p w:rsidR="00DF3B79" w:rsidRPr="00DD3825" w:rsidRDefault="00DF3B79" w:rsidP="00A57BA4">
            <w:r w:rsidRPr="00DD3825">
              <w:t>MBT</w:t>
            </w:r>
          </w:p>
        </w:tc>
        <w:tc>
          <w:tcPr>
            <w:tcW w:w="3018" w:type="dxa"/>
            <w:noWrap/>
            <w:hideMark/>
          </w:tcPr>
          <w:p w:rsidR="00DF3B79" w:rsidRPr="00DD3825" w:rsidRDefault="00DF3B79" w:rsidP="00A57BA4">
            <w:r w:rsidRPr="00DD3825">
              <w:t>Conference Room</w:t>
            </w:r>
          </w:p>
        </w:tc>
        <w:tc>
          <w:tcPr>
            <w:tcW w:w="1902" w:type="dxa"/>
            <w:hideMark/>
          </w:tcPr>
          <w:p w:rsidR="00DF3B79" w:rsidRPr="00DD3825" w:rsidRDefault="00DF3B79" w:rsidP="00A57BA4">
            <w:pPr>
              <w:rPr>
                <w:rFonts w:cs="Arial"/>
                <w:szCs w:val="22"/>
              </w:rPr>
            </w:pPr>
            <w:r w:rsidRPr="00DD3825">
              <w:rPr>
                <w:rFonts w:cs="Arial"/>
                <w:szCs w:val="22"/>
              </w:rPr>
              <w:t>35</w:t>
            </w:r>
          </w:p>
        </w:tc>
        <w:tc>
          <w:tcPr>
            <w:tcW w:w="1921" w:type="dxa"/>
            <w:hideMark/>
          </w:tcPr>
          <w:p w:rsidR="00DF3B79" w:rsidRPr="00DD3825" w:rsidRDefault="00DF3B79" w:rsidP="00A57BA4">
            <w:pPr>
              <w:rPr>
                <w:rFonts w:cs="Arial"/>
                <w:szCs w:val="22"/>
              </w:rPr>
            </w:pPr>
            <w:r w:rsidRPr="00DD3825">
              <w:rPr>
                <w:rFonts w:cs="Arial"/>
                <w:szCs w:val="22"/>
              </w:rPr>
              <w:t>44.5</w:t>
            </w:r>
          </w:p>
        </w:tc>
      </w:tr>
      <w:tr w:rsidR="00DF3B79" w:rsidRPr="00DD3825" w:rsidTr="00A57BA4">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noWrap/>
            <w:hideMark/>
          </w:tcPr>
          <w:p w:rsidR="00DF3B79" w:rsidRPr="00DD3825" w:rsidRDefault="00DF3B79" w:rsidP="00A57BA4">
            <w:r w:rsidRPr="00DD3825">
              <w:t>MBT</w:t>
            </w:r>
          </w:p>
        </w:tc>
        <w:tc>
          <w:tcPr>
            <w:tcW w:w="3018" w:type="dxa"/>
            <w:noWrap/>
            <w:hideMark/>
          </w:tcPr>
          <w:p w:rsidR="00DF3B79" w:rsidRPr="00DD3825" w:rsidRDefault="00DF3B79" w:rsidP="00A57BA4">
            <w:r w:rsidRPr="00DD3825">
              <w:t>Dining</w:t>
            </w:r>
          </w:p>
        </w:tc>
        <w:tc>
          <w:tcPr>
            <w:tcW w:w="1902" w:type="dxa"/>
            <w:hideMark/>
          </w:tcPr>
          <w:p w:rsidR="00DF3B79" w:rsidRPr="00DD3825" w:rsidRDefault="00DF3B79" w:rsidP="00A57BA4">
            <w:pPr>
              <w:rPr>
                <w:rFonts w:cs="Arial"/>
                <w:szCs w:val="22"/>
              </w:rPr>
            </w:pPr>
            <w:r w:rsidRPr="00DD3825">
              <w:rPr>
                <w:rFonts w:cs="Arial"/>
                <w:szCs w:val="22"/>
              </w:rPr>
              <w:t>75</w:t>
            </w:r>
          </w:p>
        </w:tc>
        <w:tc>
          <w:tcPr>
            <w:tcW w:w="1921" w:type="dxa"/>
            <w:hideMark/>
          </w:tcPr>
          <w:p w:rsidR="00DF3B79" w:rsidRPr="00DD3825" w:rsidRDefault="00DF3B79" w:rsidP="00A57BA4">
            <w:pPr>
              <w:rPr>
                <w:rFonts w:cs="Arial"/>
                <w:szCs w:val="22"/>
              </w:rPr>
            </w:pPr>
            <w:r w:rsidRPr="00DD3825">
              <w:rPr>
                <w:rFonts w:cs="Arial"/>
                <w:szCs w:val="22"/>
              </w:rPr>
              <w:t>44.5</w:t>
            </w:r>
          </w:p>
        </w:tc>
      </w:tr>
      <w:tr w:rsidR="00DF3B79" w:rsidRPr="00DD3825" w:rsidTr="00A57BA4">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noWrap/>
            <w:hideMark/>
          </w:tcPr>
          <w:p w:rsidR="00DF3B79" w:rsidRPr="00DD3825" w:rsidRDefault="00DF3B79" w:rsidP="00A57BA4">
            <w:r w:rsidRPr="00DD3825">
              <w:t>Nrs</w:t>
            </w:r>
          </w:p>
        </w:tc>
        <w:tc>
          <w:tcPr>
            <w:tcW w:w="3018" w:type="dxa"/>
            <w:noWrap/>
            <w:hideMark/>
          </w:tcPr>
          <w:p w:rsidR="00DF3B79" w:rsidRPr="00DD3825" w:rsidRDefault="00DF3B79" w:rsidP="00A57BA4">
            <w:r w:rsidRPr="00DD3825">
              <w:t>Dining Area</w:t>
            </w:r>
          </w:p>
        </w:tc>
        <w:tc>
          <w:tcPr>
            <w:tcW w:w="1902" w:type="dxa"/>
            <w:hideMark/>
          </w:tcPr>
          <w:p w:rsidR="00DF3B79" w:rsidRPr="00DD3825" w:rsidRDefault="00DF3B79" w:rsidP="00A57BA4">
            <w:pPr>
              <w:rPr>
                <w:rFonts w:cs="Arial"/>
                <w:szCs w:val="22"/>
              </w:rPr>
            </w:pPr>
            <w:r w:rsidRPr="00DD3825">
              <w:rPr>
                <w:rFonts w:cs="Arial"/>
                <w:szCs w:val="22"/>
              </w:rPr>
              <w:t>77</w:t>
            </w:r>
          </w:p>
        </w:tc>
        <w:tc>
          <w:tcPr>
            <w:tcW w:w="1921" w:type="dxa"/>
            <w:hideMark/>
          </w:tcPr>
          <w:p w:rsidR="00DF3B79" w:rsidRPr="00DD3825" w:rsidRDefault="00DF3B79" w:rsidP="00A57BA4">
            <w:pPr>
              <w:rPr>
                <w:rFonts w:cs="Arial"/>
                <w:szCs w:val="22"/>
              </w:rPr>
            </w:pPr>
            <w:r w:rsidRPr="00DD3825">
              <w:rPr>
                <w:rFonts w:cs="Arial"/>
                <w:szCs w:val="22"/>
              </w:rPr>
              <w:t>44.5</w:t>
            </w:r>
          </w:p>
        </w:tc>
      </w:tr>
      <w:tr w:rsidR="00DF3B79" w:rsidRPr="00DD3825" w:rsidTr="00A57BA4">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noWrap/>
            <w:hideMark/>
          </w:tcPr>
          <w:p w:rsidR="00DF3B79" w:rsidRPr="00DD3825" w:rsidRDefault="00DF3B79" w:rsidP="00A57BA4">
            <w:r w:rsidRPr="00DD3825">
              <w:t>OfS</w:t>
            </w:r>
          </w:p>
        </w:tc>
        <w:tc>
          <w:tcPr>
            <w:tcW w:w="3018" w:type="dxa"/>
            <w:noWrap/>
            <w:hideMark/>
          </w:tcPr>
          <w:p w:rsidR="00DF3B79" w:rsidRPr="00DD3825" w:rsidRDefault="00DF3B79" w:rsidP="00A57BA4">
            <w:r w:rsidRPr="00DD3825">
              <w:t>Corridor</w:t>
            </w:r>
          </w:p>
        </w:tc>
        <w:tc>
          <w:tcPr>
            <w:tcW w:w="1902" w:type="dxa"/>
            <w:hideMark/>
          </w:tcPr>
          <w:p w:rsidR="00DF3B79" w:rsidRPr="00DD3825" w:rsidRDefault="00DF3B79" w:rsidP="00A57BA4">
            <w:pPr>
              <w:rPr>
                <w:rFonts w:cs="Arial"/>
                <w:szCs w:val="22"/>
              </w:rPr>
            </w:pPr>
            <w:r w:rsidRPr="00DD3825">
              <w:rPr>
                <w:rFonts w:cs="Arial"/>
                <w:szCs w:val="22"/>
              </w:rPr>
              <w:t>65</w:t>
            </w:r>
          </w:p>
        </w:tc>
        <w:tc>
          <w:tcPr>
            <w:tcW w:w="1921" w:type="dxa"/>
            <w:hideMark/>
          </w:tcPr>
          <w:p w:rsidR="00DF3B79" w:rsidRPr="00DD3825" w:rsidRDefault="00DF3B79" w:rsidP="00A57BA4">
            <w:pPr>
              <w:rPr>
                <w:rFonts w:cs="Arial"/>
                <w:szCs w:val="22"/>
              </w:rPr>
            </w:pPr>
            <w:r w:rsidRPr="00DD3825">
              <w:rPr>
                <w:rFonts w:cs="Arial"/>
                <w:szCs w:val="22"/>
              </w:rPr>
              <w:t>10.8</w:t>
            </w:r>
          </w:p>
        </w:tc>
      </w:tr>
      <w:tr w:rsidR="00DF3B79" w:rsidRPr="00DD3825" w:rsidTr="00A57BA4">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noWrap/>
            <w:hideMark/>
          </w:tcPr>
          <w:p w:rsidR="00DF3B79" w:rsidRPr="00DD3825" w:rsidRDefault="00DF3B79" w:rsidP="00A57BA4">
            <w:r w:rsidRPr="00DD3825">
              <w:t>RFF</w:t>
            </w:r>
          </w:p>
        </w:tc>
        <w:tc>
          <w:tcPr>
            <w:tcW w:w="3018" w:type="dxa"/>
            <w:noWrap/>
            <w:hideMark/>
          </w:tcPr>
          <w:p w:rsidR="00DF3B79" w:rsidRPr="00DD3825" w:rsidRDefault="00DF3B79" w:rsidP="00A57BA4">
            <w:r w:rsidRPr="00DD3825">
              <w:t>Dining Area</w:t>
            </w:r>
          </w:p>
        </w:tc>
        <w:tc>
          <w:tcPr>
            <w:tcW w:w="1902" w:type="dxa"/>
            <w:hideMark/>
          </w:tcPr>
          <w:p w:rsidR="00DF3B79" w:rsidRPr="00DD3825" w:rsidRDefault="00DF3B79" w:rsidP="00A57BA4">
            <w:pPr>
              <w:rPr>
                <w:rFonts w:cs="Arial"/>
                <w:szCs w:val="22"/>
              </w:rPr>
            </w:pPr>
            <w:r w:rsidRPr="00DD3825">
              <w:rPr>
                <w:rFonts w:cs="Arial"/>
                <w:szCs w:val="22"/>
              </w:rPr>
              <w:t>133</w:t>
            </w:r>
          </w:p>
        </w:tc>
        <w:tc>
          <w:tcPr>
            <w:tcW w:w="1921" w:type="dxa"/>
            <w:hideMark/>
          </w:tcPr>
          <w:p w:rsidR="00DF3B79" w:rsidRPr="00DD3825" w:rsidRDefault="00DF3B79" w:rsidP="00A57BA4">
            <w:pPr>
              <w:rPr>
                <w:rFonts w:cs="Arial"/>
                <w:szCs w:val="22"/>
              </w:rPr>
            </w:pPr>
            <w:r w:rsidRPr="00DD3825">
              <w:rPr>
                <w:rFonts w:cs="Arial"/>
                <w:szCs w:val="22"/>
              </w:rPr>
              <w:t>43.8</w:t>
            </w:r>
          </w:p>
        </w:tc>
      </w:tr>
      <w:tr w:rsidR="00DF3B79" w:rsidRPr="00DD3825" w:rsidTr="00A57BA4">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noWrap/>
            <w:hideMark/>
          </w:tcPr>
          <w:p w:rsidR="00DF3B79" w:rsidRPr="00DD3825" w:rsidRDefault="00DF3B79" w:rsidP="00A57BA4">
            <w:r w:rsidRPr="00DD3825">
              <w:t>RFF</w:t>
            </w:r>
          </w:p>
        </w:tc>
        <w:tc>
          <w:tcPr>
            <w:tcW w:w="3018" w:type="dxa"/>
            <w:noWrap/>
            <w:hideMark/>
          </w:tcPr>
          <w:p w:rsidR="00DF3B79" w:rsidRPr="00DD3825" w:rsidRDefault="00DF3B79" w:rsidP="00A57BA4">
            <w:r w:rsidRPr="00DD3825">
              <w:t>Lobby (Main Entry/Assem)</w:t>
            </w:r>
          </w:p>
        </w:tc>
        <w:tc>
          <w:tcPr>
            <w:tcW w:w="1902" w:type="dxa"/>
            <w:hideMark/>
          </w:tcPr>
          <w:p w:rsidR="00DF3B79" w:rsidRPr="00DD3825" w:rsidRDefault="00DF3B79" w:rsidP="00A57BA4">
            <w:pPr>
              <w:rPr>
                <w:rFonts w:cs="Arial"/>
                <w:szCs w:val="22"/>
              </w:rPr>
            </w:pPr>
            <w:r w:rsidRPr="00DD3825">
              <w:rPr>
                <w:rFonts w:cs="Arial"/>
                <w:szCs w:val="22"/>
              </w:rPr>
              <w:t>133</w:t>
            </w:r>
          </w:p>
        </w:tc>
        <w:tc>
          <w:tcPr>
            <w:tcW w:w="1921" w:type="dxa"/>
            <w:hideMark/>
          </w:tcPr>
          <w:p w:rsidR="00DF3B79" w:rsidRPr="00DD3825" w:rsidRDefault="00DF3B79" w:rsidP="00A57BA4">
            <w:pPr>
              <w:rPr>
                <w:rFonts w:cs="Arial"/>
                <w:szCs w:val="22"/>
              </w:rPr>
            </w:pPr>
            <w:r w:rsidRPr="00DD3825">
              <w:rPr>
                <w:rFonts w:cs="Arial"/>
                <w:szCs w:val="22"/>
              </w:rPr>
              <w:t>96.7</w:t>
            </w:r>
          </w:p>
        </w:tc>
      </w:tr>
      <w:tr w:rsidR="00DF3B79" w:rsidRPr="00DD3825" w:rsidTr="00A57BA4">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noWrap/>
            <w:hideMark/>
          </w:tcPr>
          <w:p w:rsidR="00DF3B79" w:rsidRPr="00DD3825" w:rsidRDefault="00DF3B79" w:rsidP="00A57BA4">
            <w:r w:rsidRPr="00DD3825">
              <w:t>RFF</w:t>
            </w:r>
          </w:p>
        </w:tc>
        <w:tc>
          <w:tcPr>
            <w:tcW w:w="3018" w:type="dxa"/>
            <w:noWrap/>
            <w:hideMark/>
          </w:tcPr>
          <w:p w:rsidR="00DF3B79" w:rsidRPr="00DD3825" w:rsidRDefault="00DF3B79" w:rsidP="00A57BA4">
            <w:r w:rsidRPr="00DD3825">
              <w:t>Restrooms</w:t>
            </w:r>
          </w:p>
        </w:tc>
        <w:tc>
          <w:tcPr>
            <w:tcW w:w="1902" w:type="dxa"/>
            <w:hideMark/>
          </w:tcPr>
          <w:p w:rsidR="00DF3B79" w:rsidRPr="00DD3825" w:rsidRDefault="00DF3B79" w:rsidP="00A57BA4">
            <w:pPr>
              <w:rPr>
                <w:rFonts w:cs="Arial"/>
                <w:szCs w:val="22"/>
              </w:rPr>
            </w:pPr>
            <w:r w:rsidRPr="00DD3825">
              <w:rPr>
                <w:rFonts w:cs="Arial"/>
                <w:szCs w:val="22"/>
              </w:rPr>
              <w:t>133</w:t>
            </w:r>
          </w:p>
        </w:tc>
        <w:tc>
          <w:tcPr>
            <w:tcW w:w="1921" w:type="dxa"/>
            <w:hideMark/>
          </w:tcPr>
          <w:p w:rsidR="00DF3B79" w:rsidRPr="00DD3825" w:rsidRDefault="00DF3B79" w:rsidP="00A57BA4">
            <w:pPr>
              <w:rPr>
                <w:rFonts w:cs="Arial"/>
                <w:szCs w:val="22"/>
              </w:rPr>
            </w:pPr>
            <w:r w:rsidRPr="00DD3825">
              <w:rPr>
                <w:rFonts w:cs="Arial"/>
                <w:szCs w:val="22"/>
              </w:rPr>
              <w:t>20.0</w:t>
            </w:r>
          </w:p>
        </w:tc>
      </w:tr>
      <w:tr w:rsidR="00DF3B79" w:rsidRPr="00DD3825" w:rsidTr="00A57BA4">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noWrap/>
            <w:hideMark/>
          </w:tcPr>
          <w:p w:rsidR="00DF3B79" w:rsidRPr="00DD3825" w:rsidRDefault="00DF3B79" w:rsidP="00A57BA4">
            <w:r w:rsidRPr="00DD3825">
              <w:t>RSD</w:t>
            </w:r>
          </w:p>
        </w:tc>
        <w:tc>
          <w:tcPr>
            <w:tcW w:w="3018" w:type="dxa"/>
            <w:noWrap/>
            <w:hideMark/>
          </w:tcPr>
          <w:p w:rsidR="00DF3B79" w:rsidRPr="00DD3825" w:rsidRDefault="00DF3B79" w:rsidP="00A57BA4">
            <w:r w:rsidRPr="00DD3825">
              <w:t>Dining Area</w:t>
            </w:r>
          </w:p>
        </w:tc>
        <w:tc>
          <w:tcPr>
            <w:tcW w:w="1902" w:type="dxa"/>
            <w:hideMark/>
          </w:tcPr>
          <w:p w:rsidR="00DF3B79" w:rsidRPr="00DD3825" w:rsidRDefault="00DF3B79" w:rsidP="00A57BA4">
            <w:pPr>
              <w:rPr>
                <w:rFonts w:cs="Arial"/>
                <w:szCs w:val="22"/>
              </w:rPr>
            </w:pPr>
            <w:r w:rsidRPr="00DD3825">
              <w:rPr>
                <w:rFonts w:cs="Arial"/>
                <w:szCs w:val="22"/>
              </w:rPr>
              <w:t>112</w:t>
            </w:r>
          </w:p>
        </w:tc>
        <w:tc>
          <w:tcPr>
            <w:tcW w:w="1921" w:type="dxa"/>
            <w:hideMark/>
          </w:tcPr>
          <w:p w:rsidR="00DF3B79" w:rsidRPr="00DD3825" w:rsidRDefault="00DF3B79" w:rsidP="00A57BA4">
            <w:pPr>
              <w:rPr>
                <w:rFonts w:cs="Arial"/>
                <w:szCs w:val="22"/>
              </w:rPr>
            </w:pPr>
            <w:r w:rsidRPr="00DD3825">
              <w:rPr>
                <w:rFonts w:cs="Arial"/>
                <w:szCs w:val="22"/>
              </w:rPr>
              <w:t>44.3</w:t>
            </w:r>
          </w:p>
        </w:tc>
      </w:tr>
      <w:tr w:rsidR="00DF3B79" w:rsidRPr="00DD3825" w:rsidTr="00A57BA4">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noWrap/>
            <w:hideMark/>
          </w:tcPr>
          <w:p w:rsidR="00DF3B79" w:rsidRPr="00DD3825" w:rsidRDefault="00DF3B79" w:rsidP="00A57BA4">
            <w:r w:rsidRPr="00DD3825">
              <w:t>RSD</w:t>
            </w:r>
          </w:p>
        </w:tc>
        <w:tc>
          <w:tcPr>
            <w:tcW w:w="3018" w:type="dxa"/>
            <w:noWrap/>
            <w:hideMark/>
          </w:tcPr>
          <w:p w:rsidR="00DF3B79" w:rsidRPr="00DD3825" w:rsidRDefault="00DF3B79" w:rsidP="00A57BA4">
            <w:r w:rsidRPr="00DD3825">
              <w:t>Lobby (Main Entry / Assem)</w:t>
            </w:r>
          </w:p>
        </w:tc>
        <w:tc>
          <w:tcPr>
            <w:tcW w:w="1902" w:type="dxa"/>
            <w:hideMark/>
          </w:tcPr>
          <w:p w:rsidR="00DF3B79" w:rsidRPr="00DD3825" w:rsidRDefault="00DF3B79" w:rsidP="00A57BA4">
            <w:pPr>
              <w:rPr>
                <w:rFonts w:cs="Arial"/>
                <w:szCs w:val="22"/>
              </w:rPr>
            </w:pPr>
            <w:r w:rsidRPr="00DD3825">
              <w:rPr>
                <w:rFonts w:cs="Arial"/>
                <w:szCs w:val="22"/>
              </w:rPr>
              <w:t>112</w:t>
            </w:r>
          </w:p>
        </w:tc>
        <w:tc>
          <w:tcPr>
            <w:tcW w:w="1921" w:type="dxa"/>
            <w:hideMark/>
          </w:tcPr>
          <w:p w:rsidR="00DF3B79" w:rsidRPr="00DD3825" w:rsidRDefault="00DF3B79" w:rsidP="00A57BA4">
            <w:pPr>
              <w:rPr>
                <w:rFonts w:cs="Arial"/>
                <w:szCs w:val="22"/>
              </w:rPr>
            </w:pPr>
            <w:r w:rsidRPr="00DD3825">
              <w:rPr>
                <w:rFonts w:cs="Arial"/>
                <w:szCs w:val="22"/>
              </w:rPr>
              <w:t>94.9</w:t>
            </w:r>
          </w:p>
        </w:tc>
      </w:tr>
      <w:tr w:rsidR="00DF3B79" w:rsidRPr="00DD3825" w:rsidTr="00A57BA4">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noWrap/>
            <w:hideMark/>
          </w:tcPr>
          <w:p w:rsidR="00DF3B79" w:rsidRPr="00DD3825" w:rsidRDefault="00DF3B79" w:rsidP="00A57BA4">
            <w:r w:rsidRPr="00DD3825">
              <w:t>RSD</w:t>
            </w:r>
          </w:p>
        </w:tc>
        <w:tc>
          <w:tcPr>
            <w:tcW w:w="3018" w:type="dxa"/>
            <w:noWrap/>
            <w:hideMark/>
          </w:tcPr>
          <w:p w:rsidR="00DF3B79" w:rsidRPr="00DD3825" w:rsidRDefault="00DF3B79" w:rsidP="00A57BA4">
            <w:r w:rsidRPr="00DD3825">
              <w:t>Restrooms</w:t>
            </w:r>
          </w:p>
        </w:tc>
        <w:tc>
          <w:tcPr>
            <w:tcW w:w="1902" w:type="dxa"/>
            <w:hideMark/>
          </w:tcPr>
          <w:p w:rsidR="00DF3B79" w:rsidRPr="00DD3825" w:rsidRDefault="00DF3B79" w:rsidP="00A57BA4">
            <w:pPr>
              <w:rPr>
                <w:rFonts w:cs="Arial"/>
                <w:szCs w:val="22"/>
              </w:rPr>
            </w:pPr>
            <w:r w:rsidRPr="00DD3825">
              <w:rPr>
                <w:rFonts w:cs="Arial"/>
                <w:szCs w:val="22"/>
              </w:rPr>
              <w:t>112</w:t>
            </w:r>
          </w:p>
        </w:tc>
        <w:tc>
          <w:tcPr>
            <w:tcW w:w="1921" w:type="dxa"/>
            <w:hideMark/>
          </w:tcPr>
          <w:p w:rsidR="00DF3B79" w:rsidRPr="00DD3825" w:rsidRDefault="00DF3B79" w:rsidP="00A57BA4">
            <w:pPr>
              <w:rPr>
                <w:rFonts w:cs="Arial"/>
                <w:szCs w:val="22"/>
              </w:rPr>
            </w:pPr>
            <w:r w:rsidRPr="00DD3825">
              <w:rPr>
                <w:rFonts w:cs="Arial"/>
                <w:szCs w:val="22"/>
              </w:rPr>
              <w:t>20.0</w:t>
            </w:r>
          </w:p>
        </w:tc>
      </w:tr>
      <w:tr w:rsidR="00DF3B79" w:rsidRPr="00DD3825" w:rsidTr="00A57BA4">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noWrap/>
            <w:hideMark/>
          </w:tcPr>
          <w:p w:rsidR="00DF3B79" w:rsidRPr="00DD3825" w:rsidRDefault="00DF3B79" w:rsidP="00A57BA4">
            <w:r w:rsidRPr="00DD3825">
              <w:t>Rt3</w:t>
            </w:r>
          </w:p>
        </w:tc>
        <w:tc>
          <w:tcPr>
            <w:tcW w:w="3018" w:type="dxa"/>
            <w:noWrap/>
            <w:hideMark/>
          </w:tcPr>
          <w:p w:rsidR="00DF3B79" w:rsidRPr="00DD3825" w:rsidRDefault="00DF3B79" w:rsidP="00A57BA4">
            <w:r w:rsidRPr="00DD3825">
              <w:t>Retail / Wholesale Showrm</w:t>
            </w:r>
          </w:p>
        </w:tc>
        <w:tc>
          <w:tcPr>
            <w:tcW w:w="1902" w:type="dxa"/>
            <w:hideMark/>
          </w:tcPr>
          <w:p w:rsidR="00DF3B79" w:rsidRPr="00DD3825" w:rsidRDefault="00DF3B79" w:rsidP="00A57BA4">
            <w:pPr>
              <w:rPr>
                <w:rFonts w:cs="Arial"/>
                <w:szCs w:val="22"/>
              </w:rPr>
            </w:pPr>
            <w:r w:rsidRPr="00DD3825">
              <w:rPr>
                <w:rFonts w:cs="Arial"/>
                <w:szCs w:val="22"/>
              </w:rPr>
              <w:t>94</w:t>
            </w:r>
          </w:p>
        </w:tc>
        <w:tc>
          <w:tcPr>
            <w:tcW w:w="1921" w:type="dxa"/>
            <w:hideMark/>
          </w:tcPr>
          <w:p w:rsidR="00DF3B79" w:rsidRPr="00DD3825" w:rsidRDefault="00DF3B79" w:rsidP="00A57BA4">
            <w:pPr>
              <w:rPr>
                <w:rFonts w:cs="Arial"/>
                <w:szCs w:val="22"/>
              </w:rPr>
            </w:pPr>
            <w:r w:rsidRPr="00DD3825">
              <w:rPr>
                <w:rFonts w:cs="Arial"/>
                <w:szCs w:val="22"/>
              </w:rPr>
              <w:t>19.4</w:t>
            </w:r>
          </w:p>
        </w:tc>
      </w:tr>
      <w:tr w:rsidR="00DF3B79" w:rsidRPr="00DD3825" w:rsidTr="00A57BA4">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noWrap/>
            <w:hideMark/>
          </w:tcPr>
          <w:p w:rsidR="00DF3B79" w:rsidRPr="00DD3825" w:rsidRDefault="00DF3B79" w:rsidP="00A57BA4">
            <w:r w:rsidRPr="00DD3825">
              <w:t>RtL</w:t>
            </w:r>
          </w:p>
        </w:tc>
        <w:tc>
          <w:tcPr>
            <w:tcW w:w="3018" w:type="dxa"/>
            <w:noWrap/>
            <w:hideMark/>
          </w:tcPr>
          <w:p w:rsidR="00DF3B79" w:rsidRPr="00DD3825" w:rsidRDefault="00DF3B79" w:rsidP="00A57BA4">
            <w:r w:rsidRPr="00DD3825">
              <w:t>Retail / Wholesale Showrm</w:t>
            </w:r>
          </w:p>
        </w:tc>
        <w:tc>
          <w:tcPr>
            <w:tcW w:w="1902" w:type="dxa"/>
            <w:hideMark/>
          </w:tcPr>
          <w:p w:rsidR="00DF3B79" w:rsidRPr="00DD3825" w:rsidRDefault="00DF3B79" w:rsidP="00A57BA4">
            <w:pPr>
              <w:rPr>
                <w:rFonts w:cs="Arial"/>
                <w:szCs w:val="22"/>
              </w:rPr>
            </w:pPr>
            <w:r w:rsidRPr="00DD3825">
              <w:rPr>
                <w:rFonts w:cs="Arial"/>
                <w:szCs w:val="22"/>
              </w:rPr>
              <w:t>98</w:t>
            </w:r>
          </w:p>
        </w:tc>
        <w:tc>
          <w:tcPr>
            <w:tcW w:w="1921" w:type="dxa"/>
            <w:hideMark/>
          </w:tcPr>
          <w:p w:rsidR="00DF3B79" w:rsidRPr="00DD3825" w:rsidRDefault="00DF3B79" w:rsidP="00A57BA4">
            <w:pPr>
              <w:rPr>
                <w:rFonts w:cs="Arial"/>
                <w:szCs w:val="22"/>
              </w:rPr>
            </w:pPr>
            <w:r w:rsidRPr="00DD3825">
              <w:rPr>
                <w:rFonts w:cs="Arial"/>
                <w:szCs w:val="22"/>
              </w:rPr>
              <w:t>22.2</w:t>
            </w:r>
          </w:p>
        </w:tc>
      </w:tr>
      <w:tr w:rsidR="00DF3B79" w:rsidRPr="00DD3825" w:rsidTr="00A57BA4">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noWrap/>
            <w:hideMark/>
          </w:tcPr>
          <w:p w:rsidR="00DF3B79" w:rsidRPr="00DD3825" w:rsidRDefault="00DF3B79" w:rsidP="00A57BA4">
            <w:r w:rsidRPr="00DD3825">
              <w:t>RtS</w:t>
            </w:r>
          </w:p>
        </w:tc>
        <w:tc>
          <w:tcPr>
            <w:tcW w:w="3018" w:type="dxa"/>
            <w:noWrap/>
            <w:hideMark/>
          </w:tcPr>
          <w:p w:rsidR="00DF3B79" w:rsidRPr="00DD3825" w:rsidRDefault="00DF3B79" w:rsidP="00A57BA4">
            <w:r w:rsidRPr="00DD3825">
              <w:t>Retail / Wholesale Showrm</w:t>
            </w:r>
          </w:p>
        </w:tc>
        <w:tc>
          <w:tcPr>
            <w:tcW w:w="1902" w:type="dxa"/>
            <w:hideMark/>
          </w:tcPr>
          <w:p w:rsidR="00DF3B79" w:rsidRPr="00DD3825" w:rsidRDefault="00DF3B79" w:rsidP="00A57BA4">
            <w:pPr>
              <w:rPr>
                <w:rFonts w:cs="Arial"/>
                <w:szCs w:val="22"/>
              </w:rPr>
            </w:pPr>
            <w:r w:rsidRPr="00DD3825">
              <w:rPr>
                <w:rFonts w:cs="Arial"/>
                <w:szCs w:val="22"/>
              </w:rPr>
              <w:t>88</w:t>
            </w:r>
          </w:p>
        </w:tc>
        <w:tc>
          <w:tcPr>
            <w:tcW w:w="1921" w:type="dxa"/>
            <w:hideMark/>
          </w:tcPr>
          <w:p w:rsidR="00DF3B79" w:rsidRPr="00DD3825" w:rsidRDefault="00DF3B79" w:rsidP="00A57BA4">
            <w:pPr>
              <w:rPr>
                <w:rFonts w:cs="Arial"/>
                <w:szCs w:val="22"/>
              </w:rPr>
            </w:pPr>
            <w:r w:rsidRPr="00DD3825">
              <w:rPr>
                <w:rFonts w:cs="Arial"/>
                <w:szCs w:val="22"/>
              </w:rPr>
              <w:t>22.2</w:t>
            </w:r>
          </w:p>
        </w:tc>
      </w:tr>
    </w:tbl>
    <w:p w:rsidR="00197A23" w:rsidRPr="00DD3825" w:rsidRDefault="00197A23" w:rsidP="00872913">
      <w:pPr>
        <w:rPr>
          <w:rFonts w:cs="Arial"/>
          <w:b/>
          <w:i/>
        </w:rPr>
      </w:pPr>
    </w:p>
    <w:p w:rsidR="00B6671E" w:rsidRPr="00DD3825" w:rsidRDefault="00806070" w:rsidP="00775EB0">
      <w:pPr>
        <w:pStyle w:val="Heading2"/>
      </w:pPr>
      <w:bookmarkStart w:id="46" w:name="_Toc386811710"/>
      <w:r w:rsidRPr="00DD3825">
        <w:t xml:space="preserve">1.2 Product </w:t>
      </w:r>
      <w:r w:rsidR="00521920" w:rsidRPr="00DD3825">
        <w:t>Technical Description</w:t>
      </w:r>
      <w:bookmarkEnd w:id="46"/>
    </w:p>
    <w:p w:rsidR="00B6671E" w:rsidRPr="00DD3825" w:rsidRDefault="002E4280" w:rsidP="00BE62D7">
      <w:r w:rsidRPr="00DD3825">
        <w:t>C</w:t>
      </w:r>
      <w:r w:rsidR="00D84A14" w:rsidRPr="00DD3825">
        <w:t>onstant volume single zone packaged HVAC systems provide a fixed amount of outside air ventilation to a space, with the exception of systems with airside economizers which are intended to provide</w:t>
      </w:r>
      <w:r w:rsidR="00602F07" w:rsidRPr="00DD3825">
        <w:t xml:space="preserve"> up to</w:t>
      </w:r>
      <w:r w:rsidR="00D84A14" w:rsidRPr="00DD3825">
        <w:t xml:space="preserve"> 100% outside air for cooling when outside air conditions </w:t>
      </w:r>
      <w:r w:rsidR="00602F07" w:rsidRPr="00DD3825">
        <w:t>permit</w:t>
      </w:r>
      <w:r w:rsidR="00D84A14" w:rsidRPr="00DD3825">
        <w:t xml:space="preserve">. </w:t>
      </w:r>
      <w:r w:rsidR="00602F07" w:rsidRPr="00DD3825">
        <w:t xml:space="preserve">When not </w:t>
      </w:r>
      <w:r w:rsidR="00D84A14" w:rsidRPr="00DD3825">
        <w:t>economizing</w:t>
      </w:r>
      <w:r w:rsidR="004F14D2" w:rsidRPr="00DD3825">
        <w:t>,</w:t>
      </w:r>
      <w:r w:rsidR="00D84A14" w:rsidRPr="00DD3825">
        <w:t xml:space="preserve"> most systems that do have economizers provide a fixed minimum amount of outside a</w:t>
      </w:r>
      <w:r w:rsidR="004F14D2" w:rsidRPr="00DD3825">
        <w:t xml:space="preserve">ir. </w:t>
      </w:r>
      <w:r w:rsidR="00602F07" w:rsidRPr="00DD3825">
        <w:t>For systems that do</w:t>
      </w:r>
      <w:r w:rsidR="004F14D2" w:rsidRPr="00DD3825">
        <w:t xml:space="preserve"> not have the ability to adjust ventilation in response to occupancy, </w:t>
      </w:r>
      <w:r w:rsidR="00D84A14" w:rsidRPr="00DD3825">
        <w:t>Title 24 2013</w:t>
      </w:r>
      <w:r w:rsidR="00FB778C" w:rsidRPr="00DD3825">
        <w:fldChar w:fldCharType="begin"/>
      </w:r>
      <w:r w:rsidR="00FB778C" w:rsidRPr="00DD3825">
        <w:instrText xml:space="preserve"> NOTEREF _Ref384193100 \f \h </w:instrText>
      </w:r>
      <w:r w:rsidR="00BE62D7" w:rsidRPr="00DD3825">
        <w:instrText xml:space="preserve"> \* MERGEFORMAT </w:instrText>
      </w:r>
      <w:r w:rsidR="00FB778C" w:rsidRPr="00DD3825">
        <w:fldChar w:fldCharType="separate"/>
      </w:r>
      <w:r w:rsidR="00B424F3" w:rsidRPr="00B424F3">
        <w:rPr>
          <w:rStyle w:val="EndnoteReference"/>
        </w:rPr>
        <w:t>1</w:t>
      </w:r>
      <w:r w:rsidR="00FB778C" w:rsidRPr="00DD3825">
        <w:fldChar w:fldCharType="end"/>
      </w:r>
      <w:r w:rsidR="00D84A14" w:rsidRPr="00DD3825">
        <w:t xml:space="preserve"> requires the minimum outside air to be determined </w:t>
      </w:r>
      <w:r w:rsidR="00FB778C" w:rsidRPr="00DD3825">
        <w:t>based on</w:t>
      </w:r>
      <w:r w:rsidR="001A02D3" w:rsidRPr="00DD3825">
        <w:t xml:space="preserve"> </w:t>
      </w:r>
      <w:r w:rsidR="00D84A14" w:rsidRPr="00DD3825">
        <w:t xml:space="preserve">the greater of: </w:t>
      </w:r>
    </w:p>
    <w:p w:rsidR="00D84A14" w:rsidRPr="00DD3825" w:rsidRDefault="00D84A14" w:rsidP="00BE62D7">
      <w:pPr>
        <w:pStyle w:val="ListParagraph"/>
        <w:numPr>
          <w:ilvl w:val="0"/>
          <w:numId w:val="34"/>
        </w:numPr>
      </w:pPr>
      <w:r w:rsidRPr="00DD3825">
        <w:t xml:space="preserve">The floor area-dependent ventilation rate required by Title 24 Table </w:t>
      </w:r>
      <w:r w:rsidR="00FB778C" w:rsidRPr="00DD3825">
        <w:t>120.1-A</w:t>
      </w:r>
      <w:r w:rsidR="00FB778C" w:rsidRPr="00DD3825">
        <w:fldChar w:fldCharType="begin"/>
      </w:r>
      <w:r w:rsidR="00FB778C" w:rsidRPr="00DD3825">
        <w:instrText xml:space="preserve"> NOTEREF _Ref384193100 \f \h </w:instrText>
      </w:r>
      <w:r w:rsidR="00DD3825">
        <w:instrText xml:space="preserve"> \* MERGEFORMAT </w:instrText>
      </w:r>
      <w:r w:rsidR="00FB778C" w:rsidRPr="00DD3825">
        <w:fldChar w:fldCharType="separate"/>
      </w:r>
      <w:r w:rsidR="00B424F3" w:rsidRPr="00B424F3">
        <w:rPr>
          <w:rStyle w:val="EndnoteReference"/>
        </w:rPr>
        <w:t>1</w:t>
      </w:r>
      <w:r w:rsidR="00FB778C" w:rsidRPr="00DD3825">
        <w:fldChar w:fldCharType="end"/>
      </w:r>
      <w:r w:rsidRPr="00DD3825">
        <w:t xml:space="preserve"> (CFM/sq. ft.)</w:t>
      </w:r>
    </w:p>
    <w:p w:rsidR="00FB778C" w:rsidRPr="00DD3825" w:rsidRDefault="00D84A14" w:rsidP="00BE62D7">
      <w:pPr>
        <w:pStyle w:val="ListParagraph"/>
        <w:numPr>
          <w:ilvl w:val="0"/>
          <w:numId w:val="34"/>
        </w:numPr>
      </w:pPr>
      <w:r w:rsidRPr="00DD3825">
        <w:t xml:space="preserve">15 CFM per person using peak design occupancy for the space per Title 24 </w:t>
      </w:r>
      <w:r w:rsidR="00FB778C" w:rsidRPr="00DD3825">
        <w:t>§120.1(b)2</w:t>
      </w:r>
      <w:r w:rsidR="00FB778C" w:rsidRPr="00DD3825">
        <w:fldChar w:fldCharType="begin"/>
      </w:r>
      <w:r w:rsidR="00FB778C" w:rsidRPr="00DD3825">
        <w:instrText xml:space="preserve"> NOTEREF _Ref384193100 \f \h </w:instrText>
      </w:r>
      <w:r w:rsidR="00DD3825">
        <w:instrText xml:space="preserve"> \* MERGEFORMAT </w:instrText>
      </w:r>
      <w:r w:rsidR="00FB778C" w:rsidRPr="00DD3825">
        <w:fldChar w:fldCharType="separate"/>
      </w:r>
      <w:r w:rsidR="00B424F3" w:rsidRPr="00B424F3">
        <w:rPr>
          <w:rStyle w:val="EndnoteReference"/>
        </w:rPr>
        <w:t>1</w:t>
      </w:r>
      <w:r w:rsidR="00FB778C" w:rsidRPr="00DD3825">
        <w:fldChar w:fldCharType="end"/>
      </w:r>
    </w:p>
    <w:p w:rsidR="00FB778C" w:rsidRPr="00DD3825" w:rsidRDefault="00FB778C" w:rsidP="00BE62D7"/>
    <w:p w:rsidR="004F14D2" w:rsidRPr="00DD3825" w:rsidRDefault="00D84A14" w:rsidP="00BE62D7">
      <w:r w:rsidRPr="00DD3825">
        <w:t xml:space="preserve">This requirement results in a safe and healthy level of ventilation being supplied to the space during times of peak occupancy, but may result in over-ventilation during times when the space has fewer occupants. </w:t>
      </w:r>
      <w:r w:rsidR="00602F07" w:rsidRPr="00DD3825">
        <w:t>When the occupant-dependent rate is greater than the floor-area dependent rate</w:t>
      </w:r>
      <w:r w:rsidRPr="00DD3825">
        <w:t>, DCV may be used to reduce the minimum amount of ventilation that must be supplied to the space. DCV allows the system to provide additi</w:t>
      </w:r>
      <w:r w:rsidR="00602F07" w:rsidRPr="00DD3825">
        <w:t>onal ventilation up to the occupant-dependent rate only when necessary for periods of high occupancy</w:t>
      </w:r>
      <w:r w:rsidR="00ED29E9" w:rsidRPr="00DD3825">
        <w:t xml:space="preserve">. </w:t>
      </w:r>
    </w:p>
    <w:p w:rsidR="004F14D2" w:rsidRPr="00DD3825" w:rsidRDefault="004F14D2" w:rsidP="00BE62D7"/>
    <w:p w:rsidR="00D84A14" w:rsidRPr="00DD3825" w:rsidRDefault="00ED29E9" w:rsidP="00BE62D7">
      <w:r w:rsidRPr="00DD3825">
        <w:t xml:space="preserve">The particular application of DCV covered by this work paper operates </w:t>
      </w:r>
      <w:r w:rsidR="004F14D2" w:rsidRPr="00DD3825">
        <w:t>an existing economizer</w:t>
      </w:r>
      <w:r w:rsidRPr="00DD3825">
        <w:t xml:space="preserve"> outside air damper based on measured CO2 concentration in the space</w:t>
      </w:r>
      <w:r w:rsidR="004F14D2" w:rsidRPr="00DD3825">
        <w:t xml:space="preserve"> or return duct</w:t>
      </w:r>
      <w:r w:rsidRPr="00DD3825">
        <w:t xml:space="preserve">, which serves as a proxy for the occupant density in the space. Other applications may use occupancy sensors, other types of gas concentration sensors, or other means to vary outside air damper position and/or total supply air and outside air flow rates. </w:t>
      </w:r>
      <w:r w:rsidR="004F14D2" w:rsidRPr="00DD3825">
        <w:t>These other applications are ou</w:t>
      </w:r>
      <w:r w:rsidR="00602F07" w:rsidRPr="00DD3825">
        <w:t xml:space="preserve">tside the scope of this work paper. </w:t>
      </w:r>
    </w:p>
    <w:p w:rsidR="00602F07" w:rsidRPr="00DD3825" w:rsidRDefault="00602F07" w:rsidP="00BE62D7"/>
    <w:p w:rsidR="00602F07" w:rsidRPr="00DD3825" w:rsidRDefault="00602F07" w:rsidP="00BE62D7">
      <w:r w:rsidRPr="00DD3825">
        <w:t>Implementation of DCV in this application requires installation of a CO2 sensor in the zone or return duct at a minimum. If an economizer controller with the ability to control damper position based on a CO2 sensor signal is already installed</w:t>
      </w:r>
      <w:r w:rsidR="00BA3D42" w:rsidRPr="00DD3825">
        <w:t xml:space="preserve"> there are no additional hardware requirements beyond field wiring. </w:t>
      </w:r>
      <w:r w:rsidR="00DD3825" w:rsidRPr="00DD3825">
        <w:t>HV029</w:t>
      </w:r>
      <w:r w:rsidR="00BA3D42" w:rsidRPr="00DD3825">
        <w:t xml:space="preserve">, </w:t>
      </w:r>
      <w:r w:rsidR="00DD3825" w:rsidRPr="00DD3825">
        <w:t>HV030</w:t>
      </w:r>
      <w:r w:rsidR="00BA3D42" w:rsidRPr="00DD3825">
        <w:t xml:space="preserve">, and </w:t>
      </w:r>
      <w:r w:rsidR="00DD3825" w:rsidRPr="00DD3825">
        <w:t>HV031</w:t>
      </w:r>
      <w:r w:rsidR="00BA3D42" w:rsidRPr="00DD3825">
        <w:t xml:space="preserve"> provide rebates for this situation. For units that do not have a suitable economizer controller with DCV capability, an ADEC with DCV capability may be retrofit to the existing economizer. </w:t>
      </w:r>
      <w:r w:rsidR="00DD3825" w:rsidRPr="00DD3825">
        <w:t>HV026</w:t>
      </w:r>
      <w:r w:rsidR="00BA3D42" w:rsidRPr="00DD3825">
        <w:t xml:space="preserve">, </w:t>
      </w:r>
      <w:r w:rsidR="00DD3825" w:rsidRPr="00DD3825">
        <w:t>HV027</w:t>
      </w:r>
      <w:r w:rsidR="00BA3D42" w:rsidRPr="00DD3825">
        <w:t xml:space="preserve">, and </w:t>
      </w:r>
      <w:r w:rsidR="00DD3825" w:rsidRPr="00DD3825">
        <w:t>HV028</w:t>
      </w:r>
      <w:r w:rsidR="00BA3D42" w:rsidRPr="00DD3825">
        <w:t xml:space="preserve"> provide rebates for the installation of ADEC with a CO2 sensor. </w:t>
      </w:r>
    </w:p>
    <w:p w:rsidR="009C5CA7" w:rsidRPr="00DD3825" w:rsidRDefault="009C5CA7" w:rsidP="009C5CA7">
      <w:pPr>
        <w:pStyle w:val="Heading2"/>
        <w:keepNext w:val="0"/>
      </w:pPr>
      <w:bookmarkStart w:id="47" w:name="_Toc304800203"/>
      <w:bookmarkStart w:id="48" w:name="_Toc324318339"/>
      <w:bookmarkStart w:id="49" w:name="_Toc324340483"/>
      <w:bookmarkStart w:id="50" w:name="_Toc386811711"/>
      <w:r w:rsidRPr="00DD3825">
        <w:t>1.</w:t>
      </w:r>
      <w:r w:rsidR="00806070" w:rsidRPr="00DD3825">
        <w:t>3</w:t>
      </w:r>
      <w:r w:rsidRPr="00DD3825">
        <w:t xml:space="preserve"> </w:t>
      </w:r>
      <w:r w:rsidR="002E6162" w:rsidRPr="00DD3825">
        <w:t xml:space="preserve">Measure Application </w:t>
      </w:r>
      <w:bookmarkEnd w:id="47"/>
      <w:r w:rsidR="002E6162" w:rsidRPr="00DD3825">
        <w:t>Type</w:t>
      </w:r>
      <w:bookmarkEnd w:id="48"/>
      <w:bookmarkEnd w:id="49"/>
      <w:bookmarkEnd w:id="50"/>
      <w:r w:rsidR="00FA595F" w:rsidRPr="00DD3825">
        <w:t xml:space="preserve"> </w:t>
      </w:r>
    </w:p>
    <w:p w:rsidR="009C5CA7" w:rsidRPr="00DD3825" w:rsidRDefault="009C5CA7" w:rsidP="0053662D">
      <w:r w:rsidRPr="00DD3825">
        <w:t>The DEER Measure Cost Data Users Guide</w:t>
      </w:r>
      <w:r w:rsidR="00AF1807" w:rsidRPr="00DD3825">
        <w:t xml:space="preserve"> </w:t>
      </w:r>
      <w:r w:rsidR="007B2E26" w:rsidRPr="00DD3825">
        <w:t xml:space="preserve">found on </w:t>
      </w:r>
      <w:hyperlink r:id="rId23" w:history="1">
        <w:r w:rsidR="007B2E26" w:rsidRPr="00D947B8">
          <w:t>www.deeresources.com</w:t>
        </w:r>
      </w:hyperlink>
      <w:r w:rsidR="007B2E26" w:rsidRPr="00DD3825">
        <w:t xml:space="preserve"> under</w:t>
      </w:r>
      <w:r w:rsidR="003541A6" w:rsidRPr="00DD3825">
        <w:t xml:space="preserve"> </w:t>
      </w:r>
      <w:r w:rsidR="007B2E26" w:rsidRPr="00D947B8">
        <w:t>DEER2011 Database Format</w:t>
      </w:r>
      <w:r w:rsidR="007B2E26" w:rsidRPr="00DD3825">
        <w:t xml:space="preserve"> hyperlink, </w:t>
      </w:r>
      <w:r w:rsidR="007B2E26" w:rsidRPr="00D947B8">
        <w:t>DEER2011 for 13-14</w:t>
      </w:r>
      <w:r w:rsidR="003541A6" w:rsidRPr="00D947B8">
        <w:t>,</w:t>
      </w:r>
      <w:r w:rsidRPr="00DD3825">
        <w:t xml:space="preserve"> </w:t>
      </w:r>
      <w:r w:rsidR="007B2E26" w:rsidRPr="00DD3825">
        <w:t xml:space="preserve">spreadsheet </w:t>
      </w:r>
      <w:r w:rsidR="007B2E26" w:rsidRPr="00D947B8">
        <w:t>SPTdata_format-V0.97.xls</w:t>
      </w:r>
      <w:r w:rsidRPr="00DD3825">
        <w:t xml:space="preserve">, defines the </w:t>
      </w:r>
      <w:r w:rsidR="0053662D" w:rsidRPr="00DD3825">
        <w:t xml:space="preserve">measure application type </w:t>
      </w:r>
      <w:r w:rsidRPr="00DD3825">
        <w:t>terms as follows:</w:t>
      </w:r>
    </w:p>
    <w:p w:rsidR="009C5CA7" w:rsidRPr="00DD3825" w:rsidRDefault="009C5CA7" w:rsidP="009C5CA7">
      <w:pPr>
        <w:rPr>
          <w:i/>
        </w:rPr>
      </w:pPr>
    </w:p>
    <w:p w:rsidR="00BD02D0" w:rsidRPr="00DD3825" w:rsidRDefault="00BD02D0" w:rsidP="00BD02D0">
      <w:pPr>
        <w:pStyle w:val="Caption"/>
        <w:keepNext/>
        <w:rPr>
          <w:rFonts w:ascii="Calibri" w:hAnsi="Calibri" w:cs="Calibri"/>
          <w:sz w:val="26"/>
          <w:szCs w:val="26"/>
        </w:rPr>
      </w:pPr>
      <w:bookmarkStart w:id="51" w:name="_Toc386811744"/>
      <w:r w:rsidRPr="00DD3825">
        <w:t xml:space="preserve">Table </w:t>
      </w:r>
      <w:r w:rsidR="00FF41C5">
        <w:fldChar w:fldCharType="begin"/>
      </w:r>
      <w:r w:rsidR="00FF41C5">
        <w:instrText xml:space="preserve"> SEQ Table \* ARABIC </w:instrText>
      </w:r>
      <w:r w:rsidR="00FF41C5">
        <w:fldChar w:fldCharType="separate"/>
      </w:r>
      <w:r w:rsidR="00B424F3">
        <w:rPr>
          <w:noProof/>
        </w:rPr>
        <w:t>4</w:t>
      </w:r>
      <w:r w:rsidR="00FF41C5">
        <w:rPr>
          <w:noProof/>
        </w:rPr>
        <w:fldChar w:fldCharType="end"/>
      </w:r>
      <w:bookmarkStart w:id="52" w:name="RANGE!B222"/>
      <w:r w:rsidRPr="00DD3825">
        <w:rPr>
          <w:rFonts w:ascii="Calibri" w:hAnsi="Calibri" w:cs="Calibri"/>
          <w:sz w:val="26"/>
          <w:szCs w:val="26"/>
        </w:rPr>
        <w:t xml:space="preserve"> </w:t>
      </w:r>
      <w:r w:rsidRPr="00DD3825">
        <w:rPr>
          <w:rFonts w:cs="Arial"/>
        </w:rPr>
        <w:t>Measure</w:t>
      </w:r>
      <w:r w:rsidR="003541A6" w:rsidRPr="00DD3825">
        <w:rPr>
          <w:rFonts w:cs="Arial"/>
        </w:rPr>
        <w:t xml:space="preserve"> </w:t>
      </w:r>
      <w:r w:rsidRPr="00DD3825">
        <w:rPr>
          <w:rFonts w:cs="Arial"/>
        </w:rPr>
        <w:t>Application</w:t>
      </w:r>
      <w:r w:rsidR="003541A6" w:rsidRPr="00DD3825">
        <w:rPr>
          <w:rFonts w:cs="Arial"/>
        </w:rPr>
        <w:t xml:space="preserve"> </w:t>
      </w:r>
      <w:r w:rsidRPr="00DD3825">
        <w:rPr>
          <w:rFonts w:cs="Arial"/>
        </w:rPr>
        <w:t>Type</w:t>
      </w:r>
      <w:bookmarkEnd w:id="52"/>
      <w:r w:rsidR="00C87539" w:rsidRPr="00DD3825">
        <w:rPr>
          <w:rStyle w:val="EndnoteReference"/>
          <w:rFonts w:cs="Arial"/>
        </w:rPr>
        <w:endnoteReference w:id="3"/>
      </w:r>
      <w:bookmarkEnd w:id="51"/>
    </w:p>
    <w:p w:rsidR="00BD02D0" w:rsidRPr="00DD3825" w:rsidRDefault="00BD02D0" w:rsidP="00BD02D0">
      <w:pPr>
        <w:keepNext/>
      </w:pPr>
      <w:r w:rsidRPr="00DD3825">
        <w:rPr>
          <w:rFonts w:ascii="Calibri" w:hAnsi="Calibri" w:cs="Calibri"/>
          <w:i/>
          <w:iCs/>
          <w:szCs w:val="22"/>
        </w:rPr>
        <w:t xml:space="preserve">Identifies the measure application type in the Measure </w:t>
      </w:r>
      <w:r w:rsidR="00D947B8" w:rsidRPr="00DD3825">
        <w:rPr>
          <w:rFonts w:ascii="Calibri" w:hAnsi="Calibri" w:cs="Calibri"/>
          <w:i/>
          <w:iCs/>
          <w:szCs w:val="22"/>
        </w:rPr>
        <w:t>Implementation</w:t>
      </w:r>
      <w:r w:rsidRPr="00DD3825">
        <w:rPr>
          <w:rFonts w:ascii="Calibri" w:hAnsi="Calibri" w:cs="Calibri"/>
          <w:i/>
          <w:iCs/>
          <w:szCs w:val="22"/>
        </w:rPr>
        <w:t xml:space="preserve"> table</w:t>
      </w:r>
      <w:r w:rsidR="003541A6" w:rsidRPr="00DD3825">
        <w:rPr>
          <w:rFonts w:ascii="Calibri" w:hAnsi="Calibri" w:cs="Calibri"/>
          <w:i/>
          <w:iCs/>
          <w:szCs w:val="22"/>
        </w:rPr>
        <w:t xml:space="preserve"> in DEER2011.</w:t>
      </w:r>
    </w:p>
    <w:tbl>
      <w:tblPr>
        <w:tblStyle w:val="PGEWorkPaper"/>
        <w:tblW w:w="9090" w:type="dxa"/>
        <w:tblLook w:val="04A0" w:firstRow="1" w:lastRow="0" w:firstColumn="1" w:lastColumn="0" w:noHBand="0" w:noVBand="1"/>
      </w:tblPr>
      <w:tblGrid>
        <w:gridCol w:w="900"/>
        <w:gridCol w:w="2610"/>
        <w:gridCol w:w="5580"/>
      </w:tblGrid>
      <w:tr w:rsidR="00DC4019" w:rsidRPr="00DD3825" w:rsidTr="002360E5">
        <w:trPr>
          <w:cnfStyle w:val="100000000000" w:firstRow="1" w:lastRow="0" w:firstColumn="0" w:lastColumn="0" w:oddVBand="0" w:evenVBand="0" w:oddHBand="0" w:evenHBand="0" w:firstRowFirstColumn="0" w:firstRowLastColumn="0" w:lastRowFirstColumn="0" w:lastRowLastColumn="0"/>
          <w:trHeight w:val="315"/>
        </w:trPr>
        <w:tc>
          <w:tcPr>
            <w:tcW w:w="900" w:type="dxa"/>
            <w:noWrap/>
            <w:hideMark/>
          </w:tcPr>
          <w:p w:rsidR="00544873" w:rsidRPr="00DD3825" w:rsidRDefault="00544873" w:rsidP="002360E5">
            <w:pPr>
              <w:rPr>
                <w:color w:val="auto"/>
              </w:rPr>
            </w:pPr>
            <w:r w:rsidRPr="00DD3825">
              <w:rPr>
                <w:color w:val="auto"/>
              </w:rPr>
              <w:t>Code</w:t>
            </w:r>
          </w:p>
        </w:tc>
        <w:tc>
          <w:tcPr>
            <w:tcW w:w="2610" w:type="dxa"/>
            <w:noWrap/>
            <w:hideMark/>
          </w:tcPr>
          <w:p w:rsidR="00544873" w:rsidRPr="00DD3825" w:rsidRDefault="00544873" w:rsidP="002360E5">
            <w:pPr>
              <w:rPr>
                <w:color w:val="auto"/>
              </w:rPr>
            </w:pPr>
            <w:r w:rsidRPr="00DD3825">
              <w:rPr>
                <w:color w:val="auto"/>
              </w:rPr>
              <w:t>Description</w:t>
            </w:r>
          </w:p>
        </w:tc>
        <w:tc>
          <w:tcPr>
            <w:tcW w:w="5580" w:type="dxa"/>
            <w:noWrap/>
            <w:hideMark/>
          </w:tcPr>
          <w:p w:rsidR="00544873" w:rsidRPr="00DD3825" w:rsidRDefault="00544873" w:rsidP="002360E5">
            <w:pPr>
              <w:rPr>
                <w:color w:val="auto"/>
              </w:rPr>
            </w:pPr>
            <w:r w:rsidRPr="00DD3825">
              <w:rPr>
                <w:color w:val="auto"/>
              </w:rPr>
              <w:t>Comment</w:t>
            </w:r>
          </w:p>
        </w:tc>
      </w:tr>
      <w:tr w:rsidR="00BD02D0" w:rsidRPr="00DD3825" w:rsidTr="002360E5">
        <w:trPr>
          <w:cnfStyle w:val="000000100000" w:firstRow="0" w:lastRow="0" w:firstColumn="0" w:lastColumn="0" w:oddVBand="0" w:evenVBand="0" w:oddHBand="1" w:evenHBand="0" w:firstRowFirstColumn="0" w:firstRowLastColumn="0" w:lastRowFirstColumn="0" w:lastRowLastColumn="0"/>
          <w:trHeight w:val="600"/>
        </w:trPr>
        <w:tc>
          <w:tcPr>
            <w:tcW w:w="900" w:type="dxa"/>
            <w:noWrap/>
            <w:hideMark/>
          </w:tcPr>
          <w:p w:rsidR="00544873" w:rsidRPr="00DD3825" w:rsidRDefault="006431F6" w:rsidP="006431F6">
            <w:r w:rsidRPr="00DD3825">
              <w:t>REA</w:t>
            </w:r>
          </w:p>
        </w:tc>
        <w:tc>
          <w:tcPr>
            <w:tcW w:w="2610" w:type="dxa"/>
            <w:noWrap/>
            <w:hideMark/>
          </w:tcPr>
          <w:p w:rsidR="006431F6" w:rsidRPr="00DD3825" w:rsidRDefault="006431F6" w:rsidP="006431F6">
            <w:r w:rsidRPr="00DD3825">
              <w:t>Retrofit Add-on</w:t>
            </w:r>
          </w:p>
        </w:tc>
        <w:tc>
          <w:tcPr>
            <w:tcW w:w="5580" w:type="dxa"/>
            <w:hideMark/>
          </w:tcPr>
          <w:p w:rsidR="006431F6" w:rsidRPr="00DD3825" w:rsidRDefault="006431F6" w:rsidP="006431F6">
            <w:pPr>
              <w:rPr>
                <w:i/>
                <w:iCs/>
              </w:rPr>
            </w:pPr>
            <w:r w:rsidRPr="00DD3825">
              <w:rPr>
                <w:i/>
                <w:iCs/>
              </w:rPr>
              <w:t>Measure did not exist and was not requested by codes</w:t>
            </w:r>
          </w:p>
        </w:tc>
      </w:tr>
    </w:tbl>
    <w:p w:rsidR="00754332" w:rsidRPr="00DD3825" w:rsidRDefault="00754332" w:rsidP="009C5CA7">
      <w:pPr>
        <w:rPr>
          <w:rFonts w:cs="Arial"/>
          <w:i/>
          <w:sz w:val="20"/>
          <w:szCs w:val="20"/>
        </w:rPr>
      </w:pPr>
    </w:p>
    <w:p w:rsidR="00D73550" w:rsidRPr="00DD3825" w:rsidRDefault="00754332" w:rsidP="002E0043">
      <w:r w:rsidRPr="00DD3825">
        <w:t>Because this measure is a control upgr</w:t>
      </w:r>
      <w:r w:rsidR="00D947B8">
        <w:t>ade for existing units it is a Retrofit Add-on</w:t>
      </w:r>
      <w:r w:rsidRPr="00DD3825">
        <w:t xml:space="preserve"> (</w:t>
      </w:r>
      <w:r w:rsidR="00D947B8">
        <w:t>REA</w:t>
      </w:r>
      <w:r w:rsidRPr="00DD3825">
        <w:t>) application, meaning UES values provided are for an existing system without DCV as the baseline. There are no above-code savings reported as Title 24 2013 §120.1</w:t>
      </w:r>
      <w:r w:rsidRPr="00DD3825">
        <w:fldChar w:fldCharType="begin"/>
      </w:r>
      <w:r w:rsidRPr="00DD3825">
        <w:instrText xml:space="preserve"> NOTEREF _Ref384193100 \f \h </w:instrText>
      </w:r>
      <w:r w:rsidR="00DD3825">
        <w:instrText xml:space="preserve"> \* MERGEFORMAT </w:instrText>
      </w:r>
      <w:r w:rsidRPr="00DD3825">
        <w:fldChar w:fldCharType="separate"/>
      </w:r>
      <w:r w:rsidR="00B424F3" w:rsidRPr="00B424F3">
        <w:rPr>
          <w:rStyle w:val="EndnoteReference"/>
        </w:rPr>
        <w:t>1</w:t>
      </w:r>
      <w:r w:rsidRPr="00DD3825">
        <w:fldChar w:fldCharType="end"/>
      </w:r>
      <w:r w:rsidRPr="00DD3825">
        <w:t xml:space="preserve"> requires DCV in most of the building type and activity area types</w:t>
      </w:r>
      <w:r w:rsidR="0053662D" w:rsidRPr="00DD3825">
        <w:t xml:space="preserve"> where DCV is beneficial</w:t>
      </w:r>
      <w:r w:rsidRPr="00DD3825">
        <w:t xml:space="preserve">. The UES values are not appropriate </w:t>
      </w:r>
      <w:r w:rsidR="0053662D" w:rsidRPr="00DD3825">
        <w:t>for ROB</w:t>
      </w:r>
      <w:r w:rsidRPr="00DD3825">
        <w:t xml:space="preserve"> or </w:t>
      </w:r>
      <w:r w:rsidR="0053662D" w:rsidRPr="00DD3825">
        <w:t xml:space="preserve">NC </w:t>
      </w:r>
      <w:r w:rsidRPr="00DD3825">
        <w:t xml:space="preserve">applications. </w:t>
      </w:r>
    </w:p>
    <w:p w:rsidR="00806070" w:rsidRPr="00DD3825" w:rsidRDefault="00806070" w:rsidP="001248A3">
      <w:pPr>
        <w:pStyle w:val="Heading2"/>
      </w:pPr>
      <w:bookmarkStart w:id="53" w:name="_Toc304800204"/>
      <w:bookmarkStart w:id="54" w:name="_Toc324318340"/>
      <w:bookmarkStart w:id="55" w:name="_Toc324340484"/>
      <w:bookmarkStart w:id="56" w:name="_Toc386811712"/>
      <w:r w:rsidRPr="00DD3825">
        <w:t>1.4 Product Base Case and Measure Case Data</w:t>
      </w:r>
      <w:bookmarkEnd w:id="53"/>
      <w:bookmarkEnd w:id="54"/>
      <w:bookmarkEnd w:id="55"/>
      <w:bookmarkEnd w:id="56"/>
    </w:p>
    <w:p w:rsidR="0016138E" w:rsidRPr="00DD3825" w:rsidRDefault="0016138E" w:rsidP="00FB375E"/>
    <w:p w:rsidR="00E71EF1" w:rsidRPr="00DD3825" w:rsidRDefault="001248A3" w:rsidP="001248A3">
      <w:pPr>
        <w:pStyle w:val="Heading2"/>
      </w:pPr>
      <w:bookmarkStart w:id="57" w:name="_Toc304800205"/>
      <w:bookmarkStart w:id="58" w:name="_Toc324318341"/>
      <w:bookmarkStart w:id="59" w:name="_Toc324340485"/>
      <w:bookmarkStart w:id="60" w:name="_Ref385928977"/>
      <w:bookmarkStart w:id="61" w:name="_Ref385928982"/>
      <w:bookmarkStart w:id="62" w:name="_Ref385928991"/>
      <w:bookmarkStart w:id="63" w:name="_Toc386811713"/>
      <w:r w:rsidRPr="00DD3825">
        <w:t>1.</w:t>
      </w:r>
      <w:r w:rsidR="00806070" w:rsidRPr="00DD3825">
        <w:t>4.1</w:t>
      </w:r>
      <w:r w:rsidR="00FA595F" w:rsidRPr="00DD3825">
        <w:t xml:space="preserve"> </w:t>
      </w:r>
      <w:r w:rsidR="00C069A2" w:rsidRPr="00DD3825">
        <w:t xml:space="preserve">DEER </w:t>
      </w:r>
      <w:r w:rsidR="008C6AD1" w:rsidRPr="00DD3825">
        <w:t>Base Case and Measure Case Information</w:t>
      </w:r>
      <w:bookmarkEnd w:id="57"/>
      <w:bookmarkEnd w:id="58"/>
      <w:bookmarkEnd w:id="59"/>
      <w:bookmarkEnd w:id="60"/>
      <w:bookmarkEnd w:id="61"/>
      <w:bookmarkEnd w:id="62"/>
      <w:bookmarkEnd w:id="63"/>
      <w:r w:rsidR="008C6AD1" w:rsidRPr="00DD3825">
        <w:t xml:space="preserve"> </w:t>
      </w:r>
    </w:p>
    <w:p w:rsidR="007D3BD3" w:rsidRPr="00DD3825" w:rsidRDefault="007D3BD3" w:rsidP="007D3BD3">
      <w:pPr>
        <w:pStyle w:val="Heading3"/>
      </w:pPr>
      <w:bookmarkStart w:id="64" w:name="_Toc386811714"/>
      <w:r w:rsidRPr="00DD3825">
        <w:t>Base Case Simulations</w:t>
      </w:r>
      <w:bookmarkEnd w:id="64"/>
    </w:p>
    <w:p w:rsidR="00950136" w:rsidRPr="00DD3825" w:rsidRDefault="00950136" w:rsidP="00950136">
      <w:r w:rsidRPr="00D947B8">
        <w:t>The DEER data do not contain the appropriate information for this measure</w:t>
      </w:r>
      <w:r w:rsidR="00404BB1" w:rsidRPr="00D947B8">
        <w:t>.</w:t>
      </w:r>
      <w:r w:rsidR="00404BB1" w:rsidRPr="00DD3825">
        <w:t xml:space="preserve"> </w:t>
      </w:r>
      <w:r w:rsidRPr="00DD3825">
        <w:t>Energy savings and demand reduction were estimated using eQ</w:t>
      </w:r>
      <w:r w:rsidR="003530D2" w:rsidRPr="00DD3825">
        <w:t>UEST</w:t>
      </w:r>
      <w:r w:rsidRPr="00DD3825">
        <w:t xml:space="preserve"> version 3.64</w:t>
      </w:r>
      <w:r w:rsidRPr="00D947B8">
        <w:endnoteReference w:id="4"/>
      </w:r>
      <w:r w:rsidRPr="00DD3825">
        <w:t xml:space="preserve"> energy modeling software. </w:t>
      </w:r>
      <w:r w:rsidRPr="00DD3825">
        <w:lastRenderedPageBreak/>
        <w:t>The DEER 2014</w:t>
      </w:r>
      <w:r w:rsidR="001C78B2" w:rsidRPr="00DD3825">
        <w:rPr>
          <w:rStyle w:val="EndnoteReference"/>
        </w:rPr>
        <w:endnoteReference w:id="5"/>
      </w:r>
      <w:r w:rsidRPr="00DD3825">
        <w:t xml:space="preserve"> prototypes for the customer average case of the Tech IDs shown in </w:t>
      </w:r>
      <w:r w:rsidRPr="00DD3825">
        <w:fldChar w:fldCharType="begin"/>
      </w:r>
      <w:r w:rsidRPr="00DD3825">
        <w:instrText xml:space="preserve"> REF _Ref384640843 \h </w:instrText>
      </w:r>
      <w:r w:rsidR="00DD3825">
        <w:instrText xml:space="preserve"> \* MERGEFORMAT </w:instrText>
      </w:r>
      <w:r w:rsidRPr="00DD3825">
        <w:fldChar w:fldCharType="separate"/>
      </w:r>
      <w:r w:rsidR="00B424F3" w:rsidRPr="00DD3825">
        <w:t xml:space="preserve">Table </w:t>
      </w:r>
      <w:r w:rsidR="00B424F3">
        <w:rPr>
          <w:noProof/>
        </w:rPr>
        <w:t>5</w:t>
      </w:r>
      <w:r w:rsidRPr="00DD3825">
        <w:fldChar w:fldCharType="end"/>
      </w:r>
      <w:r w:rsidRPr="00DD3825">
        <w:t xml:space="preserve"> were used with some modification to develop baseline energy use and demand estimates. All DEER prototypes were generated using MASControl v3.00.19</w:t>
      </w:r>
      <w:r w:rsidRPr="00DD3825">
        <w:rPr>
          <w:rStyle w:val="EndnoteReference"/>
        </w:rPr>
        <w:endnoteReference w:id="6"/>
      </w:r>
      <w:r w:rsidRPr="00DD3825">
        <w:t>, and used the CZ2010 weather files</w:t>
      </w:r>
      <w:r w:rsidR="001C78B2" w:rsidRPr="00DD3825">
        <w:rPr>
          <w:rStyle w:val="EndnoteReference"/>
        </w:rPr>
        <w:endnoteReference w:id="7"/>
      </w:r>
      <w:r w:rsidRPr="00DD3825">
        <w:t>.</w:t>
      </w:r>
    </w:p>
    <w:p w:rsidR="00950136" w:rsidRPr="00DD3825" w:rsidRDefault="00950136" w:rsidP="00950136"/>
    <w:p w:rsidR="00950136" w:rsidRPr="00DD3825" w:rsidRDefault="00950136" w:rsidP="00950136">
      <w:pPr>
        <w:pStyle w:val="Caption"/>
        <w:keepNext/>
        <w:jc w:val="center"/>
      </w:pPr>
      <w:bookmarkStart w:id="65" w:name="_Ref384640843"/>
      <w:bookmarkStart w:id="66" w:name="_Toc386811745"/>
      <w:r w:rsidRPr="00DD3825">
        <w:t xml:space="preserve">Table </w:t>
      </w:r>
      <w:r w:rsidR="00FF41C5">
        <w:fldChar w:fldCharType="begin"/>
      </w:r>
      <w:r w:rsidR="00FF41C5">
        <w:instrText xml:space="preserve"> SEQ Table \* ARABIC </w:instrText>
      </w:r>
      <w:r w:rsidR="00FF41C5">
        <w:fldChar w:fldCharType="separate"/>
      </w:r>
      <w:r w:rsidR="00B424F3">
        <w:rPr>
          <w:noProof/>
        </w:rPr>
        <w:t>5</w:t>
      </w:r>
      <w:r w:rsidR="00FF41C5">
        <w:rPr>
          <w:noProof/>
        </w:rPr>
        <w:fldChar w:fldCharType="end"/>
      </w:r>
      <w:bookmarkEnd w:id="65"/>
      <w:r w:rsidRPr="00DD3825">
        <w:t xml:space="preserve"> DEER Prototype Tech ID by Measure</w:t>
      </w:r>
      <w:bookmarkEnd w:id="66"/>
    </w:p>
    <w:tbl>
      <w:tblPr>
        <w:tblStyle w:val="PGEWorkPaper"/>
        <w:tblW w:w="0" w:type="auto"/>
        <w:tblLook w:val="04A0" w:firstRow="1" w:lastRow="0" w:firstColumn="1" w:lastColumn="0" w:noHBand="0" w:noVBand="1"/>
      </w:tblPr>
      <w:tblGrid>
        <w:gridCol w:w="1908"/>
        <w:gridCol w:w="4163"/>
        <w:gridCol w:w="3505"/>
      </w:tblGrid>
      <w:tr w:rsidR="00D947B8" w:rsidRPr="00DD3825" w:rsidTr="00D947B8">
        <w:trPr>
          <w:cnfStyle w:val="100000000000" w:firstRow="1" w:lastRow="0" w:firstColumn="0" w:lastColumn="0" w:oddVBand="0" w:evenVBand="0" w:oddHBand="0" w:evenHBand="0" w:firstRowFirstColumn="0" w:firstRowLastColumn="0" w:lastRowFirstColumn="0" w:lastRowLastColumn="0"/>
        </w:trPr>
        <w:tc>
          <w:tcPr>
            <w:tcW w:w="1908" w:type="dxa"/>
          </w:tcPr>
          <w:p w:rsidR="00D947B8" w:rsidRPr="00DD3825" w:rsidRDefault="00D947B8" w:rsidP="00211042">
            <w:r>
              <w:t>Measure Code</w:t>
            </w:r>
          </w:p>
        </w:tc>
        <w:tc>
          <w:tcPr>
            <w:tcW w:w="4163" w:type="dxa"/>
          </w:tcPr>
          <w:p w:rsidR="00D947B8" w:rsidRPr="00DD3825" w:rsidRDefault="00D947B8" w:rsidP="00211042">
            <w:pPr>
              <w:rPr>
                <w:color w:val="auto"/>
              </w:rPr>
            </w:pPr>
            <w:r w:rsidRPr="00DD3825">
              <w:rPr>
                <w:color w:val="auto"/>
              </w:rPr>
              <w:t>Measure</w:t>
            </w:r>
          </w:p>
        </w:tc>
        <w:tc>
          <w:tcPr>
            <w:tcW w:w="3505" w:type="dxa"/>
          </w:tcPr>
          <w:p w:rsidR="00D947B8" w:rsidRPr="00DD3825" w:rsidRDefault="00D947B8" w:rsidP="00211042">
            <w:pPr>
              <w:rPr>
                <w:color w:val="auto"/>
              </w:rPr>
            </w:pPr>
            <w:r w:rsidRPr="00DD3825">
              <w:rPr>
                <w:color w:val="auto"/>
              </w:rPr>
              <w:t>DEER Prototype Tech ID</w:t>
            </w:r>
          </w:p>
        </w:tc>
      </w:tr>
      <w:tr w:rsidR="00D947B8" w:rsidRPr="00DD3825" w:rsidTr="00D947B8">
        <w:trPr>
          <w:cnfStyle w:val="000000100000" w:firstRow="0" w:lastRow="0" w:firstColumn="0" w:lastColumn="0" w:oddVBand="0" w:evenVBand="0" w:oddHBand="1" w:evenHBand="0" w:firstRowFirstColumn="0" w:firstRowLastColumn="0" w:lastRowFirstColumn="0" w:lastRowLastColumn="0"/>
        </w:trPr>
        <w:tc>
          <w:tcPr>
            <w:tcW w:w="1908" w:type="dxa"/>
          </w:tcPr>
          <w:p w:rsidR="00D947B8" w:rsidRPr="00DD3825" w:rsidRDefault="00D947B8" w:rsidP="00211042">
            <w:r>
              <w:t>HV026</w:t>
            </w:r>
          </w:p>
        </w:tc>
        <w:tc>
          <w:tcPr>
            <w:tcW w:w="4163" w:type="dxa"/>
          </w:tcPr>
          <w:p w:rsidR="00D947B8" w:rsidRPr="00DD3825" w:rsidRDefault="00D947B8" w:rsidP="00211042">
            <w:r w:rsidRPr="00DD3825">
              <w:t>Add ADEC and CO2 Sensor to AC unit with Gas Heat</w:t>
            </w:r>
          </w:p>
        </w:tc>
        <w:tc>
          <w:tcPr>
            <w:tcW w:w="3505" w:type="dxa"/>
          </w:tcPr>
          <w:p w:rsidR="00D947B8" w:rsidRPr="00DD3825" w:rsidRDefault="00D947B8" w:rsidP="00211042">
            <w:r w:rsidRPr="00DD3825">
              <w:t>D08-NE-HVAC-airAC-SpltPkg-110to134kBtuh-11p5eer</w:t>
            </w:r>
          </w:p>
        </w:tc>
      </w:tr>
      <w:tr w:rsidR="00D947B8" w:rsidRPr="00DD3825" w:rsidTr="00D947B8">
        <w:trPr>
          <w:cnfStyle w:val="000000010000" w:firstRow="0" w:lastRow="0" w:firstColumn="0" w:lastColumn="0" w:oddVBand="0" w:evenVBand="0" w:oddHBand="0" w:evenHBand="1" w:firstRowFirstColumn="0" w:firstRowLastColumn="0" w:lastRowFirstColumn="0" w:lastRowLastColumn="0"/>
        </w:trPr>
        <w:tc>
          <w:tcPr>
            <w:tcW w:w="1908" w:type="dxa"/>
          </w:tcPr>
          <w:p w:rsidR="00D947B8" w:rsidRPr="00DD3825" w:rsidRDefault="00D947B8" w:rsidP="00211042">
            <w:r>
              <w:t>HV027</w:t>
            </w:r>
          </w:p>
        </w:tc>
        <w:tc>
          <w:tcPr>
            <w:tcW w:w="4163" w:type="dxa"/>
          </w:tcPr>
          <w:p w:rsidR="00D947B8" w:rsidRPr="00DD3825" w:rsidRDefault="00D947B8" w:rsidP="00211042">
            <w:r w:rsidRPr="00DD3825">
              <w:t>Add CO2 Sensor to AC unit with Gas Heat with ADEC</w:t>
            </w:r>
          </w:p>
        </w:tc>
        <w:tc>
          <w:tcPr>
            <w:tcW w:w="3505" w:type="dxa"/>
          </w:tcPr>
          <w:p w:rsidR="00D947B8" w:rsidRPr="00DD3825" w:rsidRDefault="00D947B8" w:rsidP="00211042">
            <w:r w:rsidRPr="00DD3825">
              <w:t>D08-NE-HVAC-airAC-SpltPkg-110to134kBtuh-11p5eer</w:t>
            </w:r>
          </w:p>
        </w:tc>
      </w:tr>
      <w:tr w:rsidR="00D947B8" w:rsidRPr="00DD3825" w:rsidTr="00D947B8">
        <w:trPr>
          <w:cnfStyle w:val="000000100000" w:firstRow="0" w:lastRow="0" w:firstColumn="0" w:lastColumn="0" w:oddVBand="0" w:evenVBand="0" w:oddHBand="1" w:evenHBand="0" w:firstRowFirstColumn="0" w:firstRowLastColumn="0" w:lastRowFirstColumn="0" w:lastRowLastColumn="0"/>
        </w:trPr>
        <w:tc>
          <w:tcPr>
            <w:tcW w:w="1908" w:type="dxa"/>
          </w:tcPr>
          <w:p w:rsidR="00D947B8" w:rsidRPr="00DD3825" w:rsidRDefault="00D947B8" w:rsidP="00211042">
            <w:r>
              <w:t>HV028</w:t>
            </w:r>
          </w:p>
        </w:tc>
        <w:tc>
          <w:tcPr>
            <w:tcW w:w="4163" w:type="dxa"/>
          </w:tcPr>
          <w:p w:rsidR="00D947B8" w:rsidRPr="00DD3825" w:rsidRDefault="00D947B8" w:rsidP="00211042">
            <w:r w:rsidRPr="00DD3825">
              <w:t>Add ADEC and CO2 Sensor to AC only unit</w:t>
            </w:r>
          </w:p>
        </w:tc>
        <w:tc>
          <w:tcPr>
            <w:tcW w:w="3505" w:type="dxa"/>
          </w:tcPr>
          <w:p w:rsidR="00D947B8" w:rsidRPr="00DD3825" w:rsidRDefault="00D947B8" w:rsidP="00211042">
            <w:r w:rsidRPr="00DD3825">
              <w:t>*D08-NE-HVAC-airAC-SpltPkg-110to134kBtuh-11p5eer</w:t>
            </w:r>
          </w:p>
        </w:tc>
      </w:tr>
      <w:tr w:rsidR="00D947B8" w:rsidRPr="00DD3825" w:rsidTr="00D947B8">
        <w:trPr>
          <w:cnfStyle w:val="000000010000" w:firstRow="0" w:lastRow="0" w:firstColumn="0" w:lastColumn="0" w:oddVBand="0" w:evenVBand="0" w:oddHBand="0" w:evenHBand="1" w:firstRowFirstColumn="0" w:firstRowLastColumn="0" w:lastRowFirstColumn="0" w:lastRowLastColumn="0"/>
        </w:trPr>
        <w:tc>
          <w:tcPr>
            <w:tcW w:w="1908" w:type="dxa"/>
          </w:tcPr>
          <w:p w:rsidR="00D947B8" w:rsidRPr="00DD3825" w:rsidRDefault="00D947B8" w:rsidP="0039226B">
            <w:r>
              <w:t>HV029</w:t>
            </w:r>
          </w:p>
        </w:tc>
        <w:tc>
          <w:tcPr>
            <w:tcW w:w="4163" w:type="dxa"/>
          </w:tcPr>
          <w:p w:rsidR="00D947B8" w:rsidRPr="00DD3825" w:rsidRDefault="00D947B8" w:rsidP="0039226B">
            <w:r w:rsidRPr="00DD3825">
              <w:t>Add CO2 Sensor to AC only unit with ADEC</w:t>
            </w:r>
          </w:p>
        </w:tc>
        <w:tc>
          <w:tcPr>
            <w:tcW w:w="3505" w:type="dxa"/>
          </w:tcPr>
          <w:p w:rsidR="00D947B8" w:rsidRPr="00DD3825" w:rsidRDefault="00D947B8" w:rsidP="00211042">
            <w:r w:rsidRPr="00DD3825">
              <w:t>*D08-NE-HVAC-airAC-SpltPkg-110to134kBtuh-11p5eer</w:t>
            </w:r>
          </w:p>
        </w:tc>
      </w:tr>
      <w:tr w:rsidR="00D947B8" w:rsidRPr="00DD3825" w:rsidTr="00D947B8">
        <w:trPr>
          <w:cnfStyle w:val="000000100000" w:firstRow="0" w:lastRow="0" w:firstColumn="0" w:lastColumn="0" w:oddVBand="0" w:evenVBand="0" w:oddHBand="1" w:evenHBand="0" w:firstRowFirstColumn="0" w:firstRowLastColumn="0" w:lastRowFirstColumn="0" w:lastRowLastColumn="0"/>
        </w:trPr>
        <w:tc>
          <w:tcPr>
            <w:tcW w:w="1908" w:type="dxa"/>
          </w:tcPr>
          <w:p w:rsidR="00D947B8" w:rsidRPr="00DD3825" w:rsidRDefault="00D947B8" w:rsidP="00211042">
            <w:r>
              <w:t>HV030</w:t>
            </w:r>
          </w:p>
        </w:tc>
        <w:tc>
          <w:tcPr>
            <w:tcW w:w="4163" w:type="dxa"/>
          </w:tcPr>
          <w:p w:rsidR="00D947B8" w:rsidRPr="00DD3825" w:rsidRDefault="00D947B8" w:rsidP="00211042">
            <w:r w:rsidRPr="00DD3825">
              <w:t>Add ADEC and CO2 Sensor to HP</w:t>
            </w:r>
          </w:p>
        </w:tc>
        <w:tc>
          <w:tcPr>
            <w:tcW w:w="3505" w:type="dxa"/>
          </w:tcPr>
          <w:p w:rsidR="00D947B8" w:rsidRPr="00DD3825" w:rsidRDefault="00D947B8" w:rsidP="00211042">
            <w:r w:rsidRPr="00DD3825">
              <w:t>D08-NE-HVAC-airHP-SpltPkg-110to134kBtuh-11p5eer-3p4cop</w:t>
            </w:r>
          </w:p>
        </w:tc>
      </w:tr>
      <w:tr w:rsidR="00D947B8" w:rsidRPr="00DD3825" w:rsidTr="00D947B8">
        <w:trPr>
          <w:cnfStyle w:val="000000010000" w:firstRow="0" w:lastRow="0" w:firstColumn="0" w:lastColumn="0" w:oddVBand="0" w:evenVBand="0" w:oddHBand="0" w:evenHBand="1" w:firstRowFirstColumn="0" w:firstRowLastColumn="0" w:lastRowFirstColumn="0" w:lastRowLastColumn="0"/>
        </w:trPr>
        <w:tc>
          <w:tcPr>
            <w:tcW w:w="1908" w:type="dxa"/>
          </w:tcPr>
          <w:p w:rsidR="00D947B8" w:rsidRPr="00DD3825" w:rsidRDefault="00D947B8" w:rsidP="00211042">
            <w:r>
              <w:t>HV031</w:t>
            </w:r>
          </w:p>
        </w:tc>
        <w:tc>
          <w:tcPr>
            <w:tcW w:w="4163" w:type="dxa"/>
          </w:tcPr>
          <w:p w:rsidR="00D947B8" w:rsidRPr="00DD3825" w:rsidRDefault="00D947B8" w:rsidP="00211042">
            <w:r w:rsidRPr="00DD3825">
              <w:t>Add CO2 Sensor to HP with ADEC</w:t>
            </w:r>
          </w:p>
        </w:tc>
        <w:tc>
          <w:tcPr>
            <w:tcW w:w="3505" w:type="dxa"/>
          </w:tcPr>
          <w:p w:rsidR="00D947B8" w:rsidRPr="00DD3825" w:rsidRDefault="00D947B8" w:rsidP="00211042">
            <w:r w:rsidRPr="00DD3825">
              <w:t>D08-NE-HVAC-airHP-SpltPkg-110to134kBtuh-11p5eer-3p4cop</w:t>
            </w:r>
          </w:p>
        </w:tc>
      </w:tr>
    </w:tbl>
    <w:p w:rsidR="00950136" w:rsidRPr="00DD3825" w:rsidRDefault="00950136" w:rsidP="00950136">
      <w:r w:rsidRPr="00DD3825">
        <w:t xml:space="preserve">* </w:t>
      </w:r>
      <w:r w:rsidR="0039226B" w:rsidRPr="00DD3825">
        <w:t xml:space="preserve">for </w:t>
      </w:r>
      <w:r w:rsidRPr="00DD3825">
        <w:t>AC only unit</w:t>
      </w:r>
      <w:r w:rsidR="0039226B" w:rsidRPr="00DD3825">
        <w:t>s</w:t>
      </w:r>
      <w:r w:rsidRPr="00DD3825">
        <w:t>, the electric energy savings and demand reduction</w:t>
      </w:r>
      <w:r w:rsidR="0039226B" w:rsidRPr="00DD3825">
        <w:t xml:space="preserve"> were assumed to be the same as values for </w:t>
      </w:r>
      <w:r w:rsidRPr="00DD3825">
        <w:t>AC unit</w:t>
      </w:r>
      <w:r w:rsidR="0039226B" w:rsidRPr="00DD3825">
        <w:t>s</w:t>
      </w:r>
      <w:r w:rsidRPr="00DD3825">
        <w:t xml:space="preserve"> with Gas Heat. Gas energy savings for AC only unit</w:t>
      </w:r>
      <w:r w:rsidR="0039226B" w:rsidRPr="00DD3825">
        <w:t>s</w:t>
      </w:r>
      <w:r w:rsidRPr="00DD3825">
        <w:t xml:space="preserve"> were set to zero.</w:t>
      </w:r>
    </w:p>
    <w:p w:rsidR="00950136" w:rsidRPr="00DD3825" w:rsidRDefault="00950136" w:rsidP="00950136"/>
    <w:p w:rsidR="00071053" w:rsidRPr="00DD3825" w:rsidRDefault="00071053" w:rsidP="00950136">
      <w:r w:rsidRPr="00DD3825">
        <w:t xml:space="preserve">The DEER prototypes for the “110to134kBtuh” cooling capacity range were chosen as the representative prototypes for systems to which the measure would apply. Initially simulations included DEER prototypes for smaller and larger cooling capacities, but DCV savings were not sensitive to small differences in performance for different capacity ranges. Savings variation between the size ranges simulated was minimal, and results from a single size range were determined to be an adequate representation for all applicable system size ranges. </w:t>
      </w:r>
    </w:p>
    <w:p w:rsidR="00071053" w:rsidRPr="00DD3825" w:rsidRDefault="00071053" w:rsidP="00950136"/>
    <w:p w:rsidR="00950136" w:rsidRPr="00DD3825" w:rsidRDefault="00950136" w:rsidP="00950136">
      <w:r w:rsidRPr="00DD3825">
        <w:t>Upon examination of the DEER prototypes it was found that several modifications were necessary to estimate baseline energy use for the DCV measure. Work paper authors met with a consultant (Kevin Madison) from the Energy Division Ex</w:t>
      </w:r>
      <w:r w:rsidR="003530D2" w:rsidRPr="00DD3825">
        <w:t>-</w:t>
      </w:r>
      <w:r w:rsidRPr="00DD3825">
        <w:t xml:space="preserve">Ante Review Team to develop appropriate baseline assumptions and resulting modifications to the DEER prototypes. The following modifications were agreed upon. </w:t>
      </w:r>
    </w:p>
    <w:p w:rsidR="00950136" w:rsidRPr="00DD3825" w:rsidRDefault="00950136" w:rsidP="00950136">
      <w:pPr>
        <w:pStyle w:val="ListParagraph"/>
        <w:numPr>
          <w:ilvl w:val="0"/>
          <w:numId w:val="24"/>
        </w:numPr>
      </w:pPr>
      <w:r w:rsidRPr="00DD3825">
        <w:t>A minimum outside air fraction of 20% was used instead of 0% due to emerging research (not yet published) that indicates closed damper leakage for packaged HVAC systems are higher than previously thought.</w:t>
      </w:r>
    </w:p>
    <w:p w:rsidR="00950136" w:rsidRPr="00DD3825" w:rsidRDefault="00950136" w:rsidP="00950136">
      <w:pPr>
        <w:pStyle w:val="ListParagraph"/>
        <w:numPr>
          <w:ilvl w:val="0"/>
          <w:numId w:val="24"/>
        </w:numPr>
      </w:pPr>
      <w:r w:rsidRPr="00DD3825">
        <w:t>A maximum outside air fraction of 70% was used instead of 100% due to emerging research (not yet published) that indicates return air damper leakage and exhaust air re-entrainment for packaged HVAC systems are higher than previously thought, leading to inability of most systems to provide 100% outside air.</w:t>
      </w:r>
    </w:p>
    <w:p w:rsidR="00950136" w:rsidRPr="00DD3825" w:rsidRDefault="00950136" w:rsidP="00950136">
      <w:pPr>
        <w:pStyle w:val="ListParagraph"/>
        <w:numPr>
          <w:ilvl w:val="0"/>
          <w:numId w:val="24"/>
        </w:numPr>
      </w:pPr>
      <w:r w:rsidRPr="00DD3825">
        <w:t>Hourly occupancy as a percentage of peak design occupancy was reduced to 90% in cases where the DEER occupancy schedule exceeded 90%. DCV savings are sensitive to occupancy, and work paper authors and other collaborators recognized that most buildings do not reach 100% occupancy on a typical day. Parties involved came to the consensus that an average daily maximum occupancy percentage of 90% would be appropriate in these cases.</w:t>
      </w:r>
      <w:r w:rsidR="008F00CA" w:rsidRPr="00DD3825">
        <w:t xml:space="preserve"> The existing default DEER peak occupant densities were retained.</w:t>
      </w:r>
    </w:p>
    <w:p w:rsidR="00950136" w:rsidRPr="00DD3825" w:rsidRDefault="00950136" w:rsidP="00950136">
      <w:pPr>
        <w:pStyle w:val="ListParagraph"/>
        <w:numPr>
          <w:ilvl w:val="0"/>
          <w:numId w:val="24"/>
        </w:numPr>
      </w:pPr>
      <w:r w:rsidRPr="00DD3825">
        <w:lastRenderedPageBreak/>
        <w:t>Economizer dry-bulb changeover temperatures were set in accordance with Title 24 2013 Table 140.4B</w:t>
      </w:r>
      <w:r w:rsidRPr="00DD3825">
        <w:fldChar w:fldCharType="begin"/>
      </w:r>
      <w:r w:rsidRPr="00DD3825">
        <w:instrText xml:space="preserve"> NOTEREF _Ref384193100 \f \h </w:instrText>
      </w:r>
      <w:r w:rsidR="00DD3825">
        <w:instrText xml:space="preserve"> \* MERGEFORMAT </w:instrText>
      </w:r>
      <w:r w:rsidRPr="00DD3825">
        <w:fldChar w:fldCharType="separate"/>
      </w:r>
      <w:r w:rsidR="00B424F3" w:rsidRPr="00B424F3">
        <w:rPr>
          <w:rStyle w:val="EndnoteReference"/>
        </w:rPr>
        <w:t>1</w:t>
      </w:r>
      <w:r w:rsidRPr="00DD3825">
        <w:fldChar w:fldCharType="end"/>
      </w:r>
    </w:p>
    <w:p w:rsidR="00950136" w:rsidRPr="00DD3825" w:rsidRDefault="00950136" w:rsidP="00950136">
      <w:r w:rsidRPr="00DD3825">
        <w:t>To implement these modifications to the DEER prototypes the specific modifications to eQ</w:t>
      </w:r>
      <w:r w:rsidR="00FF7ED9" w:rsidRPr="00DD3825">
        <w:t>UEST</w:t>
      </w:r>
      <w:r w:rsidRPr="00DD3825">
        <w:t xml:space="preserve"> keywords shown in </w:t>
      </w:r>
      <w:r w:rsidRPr="00DD3825">
        <w:fldChar w:fldCharType="begin"/>
      </w:r>
      <w:r w:rsidRPr="00DD3825">
        <w:instrText xml:space="preserve"> REF _Ref384648793 \h </w:instrText>
      </w:r>
      <w:r w:rsidR="00DD3825">
        <w:instrText xml:space="preserve"> \* MERGEFORMAT </w:instrText>
      </w:r>
      <w:r w:rsidRPr="00DD3825">
        <w:fldChar w:fldCharType="separate"/>
      </w:r>
      <w:r w:rsidR="00B424F3" w:rsidRPr="00DD3825">
        <w:t xml:space="preserve">Table </w:t>
      </w:r>
      <w:r w:rsidR="00B424F3">
        <w:rPr>
          <w:noProof/>
        </w:rPr>
        <w:t>6</w:t>
      </w:r>
      <w:r w:rsidRPr="00DD3825">
        <w:fldChar w:fldCharType="end"/>
      </w:r>
      <w:r w:rsidRPr="00DD3825">
        <w:t xml:space="preserve"> were performed for the baseline. </w:t>
      </w:r>
    </w:p>
    <w:p w:rsidR="00950136" w:rsidRPr="00DD3825" w:rsidRDefault="00950136" w:rsidP="00950136"/>
    <w:p w:rsidR="00950136" w:rsidRPr="00DD3825" w:rsidRDefault="00950136" w:rsidP="00950136">
      <w:pPr>
        <w:pStyle w:val="Caption"/>
        <w:keepNext/>
        <w:jc w:val="center"/>
      </w:pPr>
      <w:bookmarkStart w:id="67" w:name="_Ref384648793"/>
      <w:bookmarkStart w:id="68" w:name="_Toc386811746"/>
      <w:r w:rsidRPr="00DD3825">
        <w:t xml:space="preserve">Table </w:t>
      </w:r>
      <w:r w:rsidR="00FF41C5">
        <w:fldChar w:fldCharType="begin"/>
      </w:r>
      <w:r w:rsidR="00FF41C5">
        <w:instrText xml:space="preserve"> SEQ Table \* ARABIC </w:instrText>
      </w:r>
      <w:r w:rsidR="00FF41C5">
        <w:fldChar w:fldCharType="separate"/>
      </w:r>
      <w:r w:rsidR="00B424F3">
        <w:rPr>
          <w:noProof/>
        </w:rPr>
        <w:t>6</w:t>
      </w:r>
      <w:r w:rsidR="00FF41C5">
        <w:rPr>
          <w:noProof/>
        </w:rPr>
        <w:fldChar w:fldCharType="end"/>
      </w:r>
      <w:bookmarkEnd w:id="67"/>
      <w:r w:rsidRPr="00DD3825">
        <w:t xml:space="preserve"> Baseline modifications to eQuest keywords</w:t>
      </w:r>
      <w:bookmarkEnd w:id="68"/>
    </w:p>
    <w:tbl>
      <w:tblPr>
        <w:tblStyle w:val="PGEWorkPaper"/>
        <w:tblW w:w="0" w:type="auto"/>
        <w:tblLook w:val="04A0" w:firstRow="1" w:lastRow="0" w:firstColumn="1" w:lastColumn="0" w:noHBand="0" w:noVBand="1"/>
      </w:tblPr>
      <w:tblGrid>
        <w:gridCol w:w="3348"/>
        <w:gridCol w:w="1080"/>
        <w:gridCol w:w="5148"/>
      </w:tblGrid>
      <w:tr w:rsidR="00950136" w:rsidRPr="00DD3825" w:rsidTr="00211042">
        <w:trPr>
          <w:cnfStyle w:val="100000000000" w:firstRow="1" w:lastRow="0" w:firstColumn="0" w:lastColumn="0" w:oddVBand="0" w:evenVBand="0" w:oddHBand="0" w:evenHBand="0" w:firstRowFirstColumn="0" w:firstRowLastColumn="0" w:lastRowFirstColumn="0" w:lastRowLastColumn="0"/>
        </w:trPr>
        <w:tc>
          <w:tcPr>
            <w:tcW w:w="3348" w:type="dxa"/>
            <w:vAlign w:val="center"/>
          </w:tcPr>
          <w:p w:rsidR="00950136" w:rsidRPr="00DD3825" w:rsidRDefault="00950136" w:rsidP="00211042">
            <w:pPr>
              <w:jc w:val="left"/>
              <w:rPr>
                <w:color w:val="auto"/>
              </w:rPr>
            </w:pPr>
            <w:r w:rsidRPr="00DD3825">
              <w:rPr>
                <w:color w:val="auto"/>
              </w:rPr>
              <w:t>eQuest Keyword</w:t>
            </w:r>
          </w:p>
        </w:tc>
        <w:tc>
          <w:tcPr>
            <w:tcW w:w="1080" w:type="dxa"/>
            <w:vAlign w:val="center"/>
          </w:tcPr>
          <w:p w:rsidR="00950136" w:rsidRPr="00DD3825" w:rsidRDefault="00950136" w:rsidP="00211042">
            <w:pPr>
              <w:jc w:val="left"/>
              <w:rPr>
                <w:color w:val="auto"/>
              </w:rPr>
            </w:pPr>
            <w:r w:rsidRPr="00DD3825">
              <w:rPr>
                <w:color w:val="auto"/>
              </w:rPr>
              <w:t>DEER Value</w:t>
            </w:r>
          </w:p>
        </w:tc>
        <w:tc>
          <w:tcPr>
            <w:tcW w:w="5148" w:type="dxa"/>
            <w:vAlign w:val="center"/>
          </w:tcPr>
          <w:p w:rsidR="00950136" w:rsidRPr="00DD3825" w:rsidRDefault="00950136" w:rsidP="00211042">
            <w:pPr>
              <w:jc w:val="left"/>
              <w:rPr>
                <w:color w:val="auto"/>
              </w:rPr>
            </w:pPr>
            <w:r w:rsidRPr="00DD3825">
              <w:rPr>
                <w:color w:val="auto"/>
              </w:rPr>
              <w:t>Modified Baseline Value</w:t>
            </w:r>
          </w:p>
        </w:tc>
      </w:tr>
      <w:tr w:rsidR="00950136" w:rsidRPr="00DD3825" w:rsidTr="00211042">
        <w:trPr>
          <w:cnfStyle w:val="000000100000" w:firstRow="0" w:lastRow="0" w:firstColumn="0" w:lastColumn="0" w:oddVBand="0" w:evenVBand="0" w:oddHBand="1" w:evenHBand="0" w:firstRowFirstColumn="0" w:firstRowLastColumn="0" w:lastRowFirstColumn="0" w:lastRowLastColumn="0"/>
        </w:trPr>
        <w:tc>
          <w:tcPr>
            <w:tcW w:w="3348" w:type="dxa"/>
            <w:vAlign w:val="center"/>
          </w:tcPr>
          <w:p w:rsidR="00950136" w:rsidRPr="00DD3825" w:rsidRDefault="00950136" w:rsidP="00211042">
            <w:pPr>
              <w:jc w:val="left"/>
            </w:pPr>
            <w:r w:rsidRPr="00DD3825">
              <w:t>SYSTEM:MIN-OUTSIDE-AIR</w:t>
            </w:r>
          </w:p>
        </w:tc>
        <w:tc>
          <w:tcPr>
            <w:tcW w:w="1080" w:type="dxa"/>
            <w:vAlign w:val="center"/>
          </w:tcPr>
          <w:p w:rsidR="00950136" w:rsidRPr="00DD3825" w:rsidRDefault="00950136" w:rsidP="00211042">
            <w:pPr>
              <w:jc w:val="left"/>
            </w:pPr>
            <w:r w:rsidRPr="00DD3825">
              <w:t>Varies</w:t>
            </w:r>
          </w:p>
        </w:tc>
        <w:tc>
          <w:tcPr>
            <w:tcW w:w="5148" w:type="dxa"/>
            <w:vAlign w:val="center"/>
          </w:tcPr>
          <w:p w:rsidR="00950136" w:rsidRPr="00DD3825" w:rsidRDefault="00950136" w:rsidP="00211042">
            <w:pPr>
              <w:jc w:val="left"/>
            </w:pPr>
            <w:r w:rsidRPr="00DD3825">
              <w:t>0.2</w:t>
            </w:r>
          </w:p>
        </w:tc>
      </w:tr>
      <w:tr w:rsidR="00950136" w:rsidRPr="00DD3825" w:rsidTr="00211042">
        <w:trPr>
          <w:cnfStyle w:val="000000010000" w:firstRow="0" w:lastRow="0" w:firstColumn="0" w:lastColumn="0" w:oddVBand="0" w:evenVBand="0" w:oddHBand="0" w:evenHBand="1" w:firstRowFirstColumn="0" w:firstRowLastColumn="0" w:lastRowFirstColumn="0" w:lastRowLastColumn="0"/>
        </w:trPr>
        <w:tc>
          <w:tcPr>
            <w:tcW w:w="3348" w:type="dxa"/>
            <w:vAlign w:val="center"/>
          </w:tcPr>
          <w:p w:rsidR="00950136" w:rsidRPr="00DD3825" w:rsidRDefault="00950136" w:rsidP="00211042">
            <w:pPr>
              <w:jc w:val="left"/>
            </w:pPr>
            <w:r w:rsidRPr="00DD3825">
              <w:t>ZONE:OA-FLOW/AREA</w:t>
            </w:r>
          </w:p>
        </w:tc>
        <w:tc>
          <w:tcPr>
            <w:tcW w:w="1080" w:type="dxa"/>
            <w:vAlign w:val="center"/>
          </w:tcPr>
          <w:p w:rsidR="00950136" w:rsidRPr="00DD3825" w:rsidRDefault="00950136" w:rsidP="00211042">
            <w:pPr>
              <w:jc w:val="left"/>
            </w:pPr>
            <w:r w:rsidRPr="00DD3825">
              <w:t>Keyword not used</w:t>
            </w:r>
          </w:p>
        </w:tc>
        <w:tc>
          <w:tcPr>
            <w:tcW w:w="5148" w:type="dxa"/>
            <w:vAlign w:val="center"/>
          </w:tcPr>
          <w:p w:rsidR="00950136" w:rsidRPr="00DD3825" w:rsidRDefault="00950136" w:rsidP="00211042">
            <w:pPr>
              <w:jc w:val="left"/>
            </w:pPr>
            <w:r w:rsidRPr="00DD3825">
              <w:t>Set such that ZONE:OA-FLOW/AREA x Zone Area = Maximum of:</w:t>
            </w:r>
          </w:p>
          <w:p w:rsidR="00950136" w:rsidRPr="00DD3825" w:rsidRDefault="00950136" w:rsidP="00211042">
            <w:pPr>
              <w:pStyle w:val="ListParagraph"/>
              <w:numPr>
                <w:ilvl w:val="0"/>
                <w:numId w:val="27"/>
              </w:numPr>
              <w:jc w:val="left"/>
            </w:pPr>
            <w:r w:rsidRPr="00DD3825">
              <w:t>0.2 x Supply Air Flow Rate</w:t>
            </w:r>
          </w:p>
          <w:p w:rsidR="00950136" w:rsidRPr="00DD3825" w:rsidRDefault="00950136" w:rsidP="00211042">
            <w:pPr>
              <w:pStyle w:val="ListParagraph"/>
              <w:numPr>
                <w:ilvl w:val="0"/>
                <w:numId w:val="27"/>
              </w:numPr>
              <w:jc w:val="left"/>
            </w:pPr>
            <w:r w:rsidRPr="00DD3825">
              <w:t>Title 24 Table 120.1-A</w:t>
            </w:r>
            <w:r w:rsidRPr="00DD3825">
              <w:fldChar w:fldCharType="begin"/>
            </w:r>
            <w:r w:rsidRPr="00DD3825">
              <w:instrText xml:space="preserve"> NOTEREF _Ref384193100 \f \h  \* MERGEFORMAT </w:instrText>
            </w:r>
            <w:r w:rsidRPr="00DD3825">
              <w:fldChar w:fldCharType="separate"/>
            </w:r>
            <w:r w:rsidR="00B424F3" w:rsidRPr="00B424F3">
              <w:rPr>
                <w:rStyle w:val="EndnoteReference"/>
              </w:rPr>
              <w:t>1</w:t>
            </w:r>
            <w:r w:rsidRPr="00DD3825">
              <w:fldChar w:fldCharType="end"/>
            </w:r>
            <w:r w:rsidRPr="00DD3825">
              <w:t xml:space="preserve"> Minimum Ventilation Rate</w:t>
            </w:r>
          </w:p>
          <w:p w:rsidR="00950136" w:rsidRPr="00DD3825" w:rsidRDefault="00950136" w:rsidP="00211042">
            <w:pPr>
              <w:pStyle w:val="ListParagraph"/>
              <w:numPr>
                <w:ilvl w:val="0"/>
                <w:numId w:val="27"/>
              </w:numPr>
              <w:jc w:val="left"/>
            </w:pPr>
            <w:r w:rsidRPr="00DD3825">
              <w:t>15 CFM/person* x Peak Occupancy # of People</w:t>
            </w:r>
          </w:p>
        </w:tc>
      </w:tr>
      <w:tr w:rsidR="00950136" w:rsidRPr="00DD3825" w:rsidTr="00211042">
        <w:trPr>
          <w:cnfStyle w:val="000000100000" w:firstRow="0" w:lastRow="0" w:firstColumn="0" w:lastColumn="0" w:oddVBand="0" w:evenVBand="0" w:oddHBand="1" w:evenHBand="0" w:firstRowFirstColumn="0" w:firstRowLastColumn="0" w:lastRowFirstColumn="0" w:lastRowLastColumn="0"/>
        </w:trPr>
        <w:tc>
          <w:tcPr>
            <w:tcW w:w="3348" w:type="dxa"/>
            <w:vAlign w:val="center"/>
          </w:tcPr>
          <w:p w:rsidR="00950136" w:rsidRPr="00DD3825" w:rsidRDefault="00950136" w:rsidP="00211042">
            <w:pPr>
              <w:jc w:val="left"/>
            </w:pPr>
            <w:r w:rsidRPr="00DD3825">
              <w:t>SYSTEM:MAX-OA-FRACTION</w:t>
            </w:r>
          </w:p>
        </w:tc>
        <w:tc>
          <w:tcPr>
            <w:tcW w:w="1080" w:type="dxa"/>
            <w:vAlign w:val="center"/>
          </w:tcPr>
          <w:p w:rsidR="00950136" w:rsidRPr="00DD3825" w:rsidRDefault="00950136" w:rsidP="00211042">
            <w:pPr>
              <w:jc w:val="left"/>
            </w:pPr>
            <w:r w:rsidRPr="00DD3825">
              <w:t>1.0</w:t>
            </w:r>
          </w:p>
        </w:tc>
        <w:tc>
          <w:tcPr>
            <w:tcW w:w="5148" w:type="dxa"/>
            <w:vAlign w:val="center"/>
          </w:tcPr>
          <w:p w:rsidR="00950136" w:rsidRPr="00DD3825" w:rsidRDefault="00950136" w:rsidP="00211042">
            <w:pPr>
              <w:jc w:val="left"/>
            </w:pPr>
            <w:r w:rsidRPr="00DD3825">
              <w:t>0.7</w:t>
            </w:r>
          </w:p>
        </w:tc>
      </w:tr>
      <w:tr w:rsidR="00950136" w:rsidRPr="00DD3825" w:rsidTr="00211042">
        <w:trPr>
          <w:cnfStyle w:val="000000010000" w:firstRow="0" w:lastRow="0" w:firstColumn="0" w:lastColumn="0" w:oddVBand="0" w:evenVBand="0" w:oddHBand="0" w:evenHBand="1" w:firstRowFirstColumn="0" w:firstRowLastColumn="0" w:lastRowFirstColumn="0" w:lastRowLastColumn="0"/>
        </w:trPr>
        <w:tc>
          <w:tcPr>
            <w:tcW w:w="3348" w:type="dxa"/>
            <w:vAlign w:val="center"/>
          </w:tcPr>
          <w:p w:rsidR="00950136" w:rsidRPr="00DD3825" w:rsidRDefault="00950136" w:rsidP="00211042">
            <w:pPr>
              <w:jc w:val="left"/>
            </w:pPr>
            <w:r w:rsidRPr="00DD3825">
              <w:rPr>
                <w:i/>
              </w:rPr>
              <w:t xml:space="preserve">For Occ schedules </w:t>
            </w:r>
            <w:r w:rsidRPr="00DD3825">
              <w:t>DAY-SCHEDULE:VALUES[X]</w:t>
            </w:r>
          </w:p>
        </w:tc>
        <w:tc>
          <w:tcPr>
            <w:tcW w:w="1080" w:type="dxa"/>
            <w:vAlign w:val="center"/>
          </w:tcPr>
          <w:p w:rsidR="00950136" w:rsidRPr="00DD3825" w:rsidRDefault="00950136" w:rsidP="00211042">
            <w:pPr>
              <w:jc w:val="left"/>
            </w:pPr>
            <w:r w:rsidRPr="00DD3825">
              <w:t>If &gt;0.9</w:t>
            </w:r>
          </w:p>
        </w:tc>
        <w:tc>
          <w:tcPr>
            <w:tcW w:w="5148" w:type="dxa"/>
            <w:vAlign w:val="center"/>
          </w:tcPr>
          <w:p w:rsidR="00950136" w:rsidRPr="00DD3825" w:rsidRDefault="00950136" w:rsidP="00211042">
            <w:pPr>
              <w:jc w:val="left"/>
            </w:pPr>
            <w:r w:rsidRPr="00DD3825">
              <w:t>0.9</w:t>
            </w:r>
          </w:p>
        </w:tc>
      </w:tr>
      <w:tr w:rsidR="00950136" w:rsidRPr="00DD3825" w:rsidTr="00211042">
        <w:trPr>
          <w:cnfStyle w:val="000000100000" w:firstRow="0" w:lastRow="0" w:firstColumn="0" w:lastColumn="0" w:oddVBand="0" w:evenVBand="0" w:oddHBand="1" w:evenHBand="0" w:firstRowFirstColumn="0" w:firstRowLastColumn="0" w:lastRowFirstColumn="0" w:lastRowLastColumn="0"/>
        </w:trPr>
        <w:tc>
          <w:tcPr>
            <w:tcW w:w="3348" w:type="dxa"/>
            <w:vAlign w:val="center"/>
          </w:tcPr>
          <w:p w:rsidR="00950136" w:rsidRPr="00DD3825" w:rsidRDefault="00950136" w:rsidP="00211042">
            <w:pPr>
              <w:jc w:val="left"/>
            </w:pPr>
            <w:r w:rsidRPr="00DD3825">
              <w:t>SYSTEM:ECONO-LIMIT-T</w:t>
            </w:r>
          </w:p>
        </w:tc>
        <w:tc>
          <w:tcPr>
            <w:tcW w:w="1080" w:type="dxa"/>
            <w:vAlign w:val="center"/>
          </w:tcPr>
          <w:p w:rsidR="00950136" w:rsidRPr="00DD3825" w:rsidRDefault="00950136" w:rsidP="00211042">
            <w:pPr>
              <w:jc w:val="left"/>
            </w:pPr>
            <w:r w:rsidRPr="00DD3825">
              <w:t>Varies</w:t>
            </w:r>
          </w:p>
        </w:tc>
        <w:tc>
          <w:tcPr>
            <w:tcW w:w="5148" w:type="dxa"/>
            <w:vAlign w:val="center"/>
          </w:tcPr>
          <w:p w:rsidR="00950136" w:rsidRPr="00DD3825" w:rsidRDefault="00950136" w:rsidP="00211042">
            <w:pPr>
              <w:jc w:val="left"/>
            </w:pPr>
            <w:r w:rsidRPr="00DD3825">
              <w:t>Varies by climate zone from 69°F to 75°F depending on Title 24 2013 Table 140.4B</w:t>
            </w:r>
            <w:r w:rsidRPr="00DD3825">
              <w:fldChar w:fldCharType="begin"/>
            </w:r>
            <w:r w:rsidRPr="00DD3825">
              <w:instrText xml:space="preserve"> NOTEREF _Ref384193100 \f \h  \* MERGEFORMAT </w:instrText>
            </w:r>
            <w:r w:rsidRPr="00DD3825">
              <w:fldChar w:fldCharType="separate"/>
            </w:r>
            <w:r w:rsidR="00B424F3" w:rsidRPr="00B424F3">
              <w:rPr>
                <w:rStyle w:val="EndnoteReference"/>
              </w:rPr>
              <w:t>1</w:t>
            </w:r>
            <w:r w:rsidRPr="00DD3825">
              <w:fldChar w:fldCharType="end"/>
            </w:r>
            <w:r w:rsidRPr="00DD3825">
              <w:t xml:space="preserve"> requirement</w:t>
            </w:r>
          </w:p>
        </w:tc>
      </w:tr>
    </w:tbl>
    <w:p w:rsidR="00950136" w:rsidRPr="00DD3825" w:rsidRDefault="00950136" w:rsidP="00950136">
      <w:r w:rsidRPr="00DD3825">
        <w:t>*Outside air ventilation rate per person required by Title 24 2013 §120.1(b)2B</w:t>
      </w:r>
      <w:r w:rsidRPr="00DD3825">
        <w:fldChar w:fldCharType="begin"/>
      </w:r>
      <w:r w:rsidRPr="00DD3825">
        <w:instrText xml:space="preserve"> NOTEREF _Ref384193100 \f \h </w:instrText>
      </w:r>
      <w:r w:rsidR="00DD3825">
        <w:instrText xml:space="preserve"> \* MERGEFORMAT </w:instrText>
      </w:r>
      <w:r w:rsidRPr="00DD3825">
        <w:fldChar w:fldCharType="separate"/>
      </w:r>
      <w:r w:rsidR="00B424F3" w:rsidRPr="00B424F3">
        <w:rPr>
          <w:rStyle w:val="EndnoteReference"/>
        </w:rPr>
        <w:t>1</w:t>
      </w:r>
      <w:r w:rsidRPr="00DD3825">
        <w:fldChar w:fldCharType="end"/>
      </w:r>
    </w:p>
    <w:p w:rsidR="00AB1D66" w:rsidRPr="00DD3825" w:rsidRDefault="00AB1D66" w:rsidP="009C5CA7">
      <w:pPr>
        <w:rPr>
          <w:b/>
        </w:rPr>
      </w:pPr>
    </w:p>
    <w:p w:rsidR="007D3BD3" w:rsidRPr="00DD3825" w:rsidRDefault="007D3BD3" w:rsidP="007D3BD3">
      <w:pPr>
        <w:pStyle w:val="Heading3"/>
      </w:pPr>
      <w:bookmarkStart w:id="69" w:name="_Toc386811715"/>
      <w:r w:rsidRPr="00DD3825">
        <w:t>Measure Simulations</w:t>
      </w:r>
      <w:bookmarkEnd w:id="69"/>
    </w:p>
    <w:p w:rsidR="007D3BD3" w:rsidRPr="00DD3825" w:rsidRDefault="007D3BD3" w:rsidP="007D3BD3">
      <w:r w:rsidRPr="00DD3825">
        <w:t>To develop measure-case energy use and demand estimates the modified baseline files were further modified to simulate application of DCV to each system for which DCV would result in the benefit of reduced ventilation supplied to the space. To determine the specific systems and zones for which DCV would provide a benefit it was necessary to determine the minimum ventilation rate that could be supplied for each zone based on the maximum of:</w:t>
      </w:r>
    </w:p>
    <w:p w:rsidR="007D3BD3" w:rsidRPr="00DD3825" w:rsidRDefault="007D3BD3" w:rsidP="007D3BD3">
      <w:pPr>
        <w:pStyle w:val="ListParagraph"/>
        <w:numPr>
          <w:ilvl w:val="0"/>
          <w:numId w:val="28"/>
        </w:numPr>
      </w:pPr>
      <w:r w:rsidRPr="00DD3825">
        <w:t>20% of the supply airflow (assumed physical limitation of dampers)</w:t>
      </w:r>
    </w:p>
    <w:p w:rsidR="007D3BD3" w:rsidRPr="00DD3825" w:rsidRDefault="007D3BD3" w:rsidP="007D3BD3">
      <w:pPr>
        <w:pStyle w:val="ListParagraph"/>
        <w:numPr>
          <w:ilvl w:val="0"/>
          <w:numId w:val="28"/>
        </w:numPr>
      </w:pPr>
      <w:r w:rsidRPr="00DD3825">
        <w:t>Title 24 Table 120.1-A</w:t>
      </w:r>
      <w:r w:rsidRPr="00DD3825">
        <w:fldChar w:fldCharType="begin"/>
      </w:r>
      <w:r w:rsidRPr="00DD3825">
        <w:instrText xml:space="preserve"> NOTEREF _Ref384193100 \f \h  \* MERGEFORMAT </w:instrText>
      </w:r>
      <w:r w:rsidRPr="00DD3825">
        <w:fldChar w:fldCharType="separate"/>
      </w:r>
      <w:r w:rsidR="00B424F3" w:rsidRPr="00B424F3">
        <w:rPr>
          <w:rStyle w:val="EndnoteReference"/>
        </w:rPr>
        <w:t>1</w:t>
      </w:r>
      <w:r w:rsidRPr="00DD3825">
        <w:fldChar w:fldCharType="end"/>
      </w:r>
      <w:r w:rsidRPr="00DD3825">
        <w:t xml:space="preserve"> Minimum Ventilation Rate (code-required minimum)</w:t>
      </w:r>
    </w:p>
    <w:p w:rsidR="007D3BD3" w:rsidRPr="00DD3825" w:rsidRDefault="007D3BD3" w:rsidP="007D3BD3">
      <w:r w:rsidRPr="00DD3825">
        <w:t xml:space="preserve">Wherever this value resulted in a lower value than the minimum outdoor air flow rate for the baseline the DCV measure was simulated. </w:t>
      </w:r>
      <w:r w:rsidRPr="00DD3825">
        <w:fldChar w:fldCharType="begin"/>
      </w:r>
      <w:r w:rsidRPr="00DD3825">
        <w:instrText xml:space="preserve"> REF _Ref384192027 \h </w:instrText>
      </w:r>
      <w:r w:rsidR="00DD3825">
        <w:instrText xml:space="preserve"> \* MERGEFORMAT </w:instrText>
      </w:r>
      <w:r w:rsidRPr="00DD3825">
        <w:fldChar w:fldCharType="separate"/>
      </w:r>
      <w:r w:rsidR="00B424F3" w:rsidRPr="00DD3825">
        <w:t xml:space="preserve">Table </w:t>
      </w:r>
      <w:r w:rsidR="00B424F3">
        <w:rPr>
          <w:noProof/>
        </w:rPr>
        <w:t>3</w:t>
      </w:r>
      <w:r w:rsidRPr="00DD3825">
        <w:fldChar w:fldCharType="end"/>
      </w:r>
      <w:r w:rsidRPr="00DD3825">
        <w:t xml:space="preserve"> lists the building types and activity area types within each building where this condition was met. For these areas the zone minimum outside airflow was adjusted to the minimum rate that could be supplied. eQ</w:t>
      </w:r>
      <w:r w:rsidR="00A62A4D" w:rsidRPr="00DD3825">
        <w:t>UEST</w:t>
      </w:r>
      <w:r w:rsidRPr="00DD3825">
        <w:t xml:space="preserve"> includes built-in functionality to simulate DCV by varying outside air flow rate based on the maximum of the rate required for the area and the rate required for the number of occupants in a given hour as described in the DOE-2.2 dictionary pp. 362-363</w:t>
      </w:r>
      <w:r w:rsidRPr="00DD3825">
        <w:rPr>
          <w:rStyle w:val="EndnoteReference"/>
        </w:rPr>
        <w:endnoteReference w:id="8"/>
      </w:r>
      <w:r w:rsidRPr="00DD3825">
        <w:t xml:space="preserve">. Specific keywords modified to represent the measure are shown in </w:t>
      </w:r>
      <w:r w:rsidRPr="00DD3825">
        <w:fldChar w:fldCharType="begin"/>
      </w:r>
      <w:r w:rsidRPr="00DD3825">
        <w:instrText xml:space="preserve"> REF _Ref384654370 \h </w:instrText>
      </w:r>
      <w:r w:rsidR="00DD3825">
        <w:instrText xml:space="preserve"> \* MERGEFORMAT </w:instrText>
      </w:r>
      <w:r w:rsidRPr="00DD3825">
        <w:fldChar w:fldCharType="separate"/>
      </w:r>
      <w:r w:rsidR="00B424F3" w:rsidRPr="00DD3825">
        <w:t xml:space="preserve">Table </w:t>
      </w:r>
      <w:r w:rsidR="00B424F3">
        <w:rPr>
          <w:noProof/>
        </w:rPr>
        <w:t>7</w:t>
      </w:r>
      <w:r w:rsidRPr="00DD3825">
        <w:fldChar w:fldCharType="end"/>
      </w:r>
      <w:r w:rsidRPr="00DD3825">
        <w:t>. All other keywords remained consistent from the baseline to the measure.</w:t>
      </w:r>
    </w:p>
    <w:p w:rsidR="007D3BD3" w:rsidRPr="00DD3825" w:rsidRDefault="007D3BD3" w:rsidP="007D3BD3">
      <w:pPr>
        <w:pStyle w:val="Caption"/>
        <w:keepNext/>
      </w:pPr>
    </w:p>
    <w:p w:rsidR="007D3BD3" w:rsidRPr="00DD3825" w:rsidRDefault="007D3BD3" w:rsidP="007D3BD3">
      <w:pPr>
        <w:pStyle w:val="Caption"/>
        <w:keepNext/>
        <w:jc w:val="center"/>
      </w:pPr>
      <w:bookmarkStart w:id="70" w:name="_Ref384654370"/>
      <w:bookmarkStart w:id="71" w:name="_Toc386811747"/>
      <w:r w:rsidRPr="00DD3825">
        <w:t xml:space="preserve">Table </w:t>
      </w:r>
      <w:r w:rsidR="00FF41C5">
        <w:fldChar w:fldCharType="begin"/>
      </w:r>
      <w:r w:rsidR="00FF41C5">
        <w:instrText xml:space="preserve"> SEQ Table \* ARABIC </w:instrText>
      </w:r>
      <w:r w:rsidR="00FF41C5">
        <w:fldChar w:fldCharType="separate"/>
      </w:r>
      <w:r w:rsidR="00B424F3">
        <w:rPr>
          <w:noProof/>
        </w:rPr>
        <w:t>7</w:t>
      </w:r>
      <w:r w:rsidR="00FF41C5">
        <w:rPr>
          <w:noProof/>
        </w:rPr>
        <w:fldChar w:fldCharType="end"/>
      </w:r>
      <w:bookmarkEnd w:id="70"/>
      <w:r w:rsidRPr="00DD3825">
        <w:t xml:space="preserve"> Measure-case eQ</w:t>
      </w:r>
      <w:r w:rsidR="00A62A4D" w:rsidRPr="00DD3825">
        <w:t>UEST</w:t>
      </w:r>
      <w:r w:rsidRPr="00DD3825">
        <w:t xml:space="preserve"> keyword modifications</w:t>
      </w:r>
      <w:bookmarkEnd w:id="71"/>
    </w:p>
    <w:tbl>
      <w:tblPr>
        <w:tblStyle w:val="PGEWorkPaper"/>
        <w:tblW w:w="0" w:type="auto"/>
        <w:tblLook w:val="04A0" w:firstRow="1" w:lastRow="0" w:firstColumn="1" w:lastColumn="0" w:noHBand="0" w:noVBand="1"/>
      </w:tblPr>
      <w:tblGrid>
        <w:gridCol w:w="3010"/>
        <w:gridCol w:w="3578"/>
        <w:gridCol w:w="2988"/>
      </w:tblGrid>
      <w:tr w:rsidR="007D3BD3" w:rsidRPr="00DD3825" w:rsidTr="00211042">
        <w:trPr>
          <w:cnfStyle w:val="100000000000" w:firstRow="1" w:lastRow="0" w:firstColumn="0" w:lastColumn="0" w:oddVBand="0" w:evenVBand="0" w:oddHBand="0" w:evenHBand="0" w:firstRowFirstColumn="0" w:firstRowLastColumn="0" w:lastRowFirstColumn="0" w:lastRowLastColumn="0"/>
        </w:trPr>
        <w:tc>
          <w:tcPr>
            <w:tcW w:w="3010" w:type="dxa"/>
            <w:vAlign w:val="center"/>
          </w:tcPr>
          <w:p w:rsidR="007D3BD3" w:rsidRPr="00DD3825" w:rsidRDefault="007D3BD3" w:rsidP="00211042">
            <w:pPr>
              <w:jc w:val="left"/>
              <w:rPr>
                <w:color w:val="auto"/>
              </w:rPr>
            </w:pPr>
            <w:r w:rsidRPr="00DD3825">
              <w:rPr>
                <w:color w:val="auto"/>
              </w:rPr>
              <w:t>eQuest Keyword</w:t>
            </w:r>
          </w:p>
        </w:tc>
        <w:tc>
          <w:tcPr>
            <w:tcW w:w="3578" w:type="dxa"/>
            <w:vAlign w:val="center"/>
          </w:tcPr>
          <w:p w:rsidR="007D3BD3" w:rsidRPr="00DD3825" w:rsidRDefault="007D3BD3" w:rsidP="00211042">
            <w:pPr>
              <w:jc w:val="left"/>
              <w:rPr>
                <w:color w:val="auto"/>
              </w:rPr>
            </w:pPr>
            <w:r w:rsidRPr="00DD3825">
              <w:rPr>
                <w:color w:val="auto"/>
              </w:rPr>
              <w:t>Baseline Value</w:t>
            </w:r>
          </w:p>
        </w:tc>
        <w:tc>
          <w:tcPr>
            <w:tcW w:w="2988" w:type="dxa"/>
            <w:vAlign w:val="center"/>
          </w:tcPr>
          <w:p w:rsidR="007D3BD3" w:rsidRPr="00DD3825" w:rsidRDefault="007D3BD3" w:rsidP="00211042">
            <w:pPr>
              <w:jc w:val="left"/>
              <w:rPr>
                <w:color w:val="auto"/>
              </w:rPr>
            </w:pPr>
            <w:r w:rsidRPr="00DD3825">
              <w:rPr>
                <w:color w:val="auto"/>
              </w:rPr>
              <w:t>Measure Value</w:t>
            </w:r>
          </w:p>
        </w:tc>
      </w:tr>
      <w:tr w:rsidR="007D3BD3" w:rsidRPr="00DD3825" w:rsidTr="00211042">
        <w:trPr>
          <w:cnfStyle w:val="000000100000" w:firstRow="0" w:lastRow="0" w:firstColumn="0" w:lastColumn="0" w:oddVBand="0" w:evenVBand="0" w:oddHBand="1" w:evenHBand="0" w:firstRowFirstColumn="0" w:firstRowLastColumn="0" w:lastRowFirstColumn="0" w:lastRowLastColumn="0"/>
        </w:trPr>
        <w:tc>
          <w:tcPr>
            <w:tcW w:w="3010" w:type="dxa"/>
            <w:vAlign w:val="center"/>
          </w:tcPr>
          <w:p w:rsidR="007D3BD3" w:rsidRPr="00DD3825" w:rsidRDefault="007D3BD3" w:rsidP="00211042">
            <w:pPr>
              <w:jc w:val="left"/>
            </w:pPr>
            <w:r w:rsidRPr="00DD3825">
              <w:t>ZONE:OA-FLOW/AREA</w:t>
            </w:r>
          </w:p>
        </w:tc>
        <w:tc>
          <w:tcPr>
            <w:tcW w:w="3578" w:type="dxa"/>
            <w:vAlign w:val="center"/>
          </w:tcPr>
          <w:p w:rsidR="007D3BD3" w:rsidRPr="00DD3825" w:rsidRDefault="007D3BD3" w:rsidP="00211042">
            <w:pPr>
              <w:jc w:val="left"/>
            </w:pPr>
            <w:r w:rsidRPr="00DD3825">
              <w:t>Set such that ZONE:OA-FLOW/AREA x Zone Area = Maximum of:</w:t>
            </w:r>
          </w:p>
          <w:p w:rsidR="007D3BD3" w:rsidRPr="00DD3825" w:rsidRDefault="007D3BD3" w:rsidP="00211042">
            <w:pPr>
              <w:pStyle w:val="ListParagraph"/>
              <w:numPr>
                <w:ilvl w:val="0"/>
                <w:numId w:val="31"/>
              </w:numPr>
              <w:jc w:val="left"/>
            </w:pPr>
            <w:r w:rsidRPr="00DD3825">
              <w:t>0.2 x Supply Air Flow Rate</w:t>
            </w:r>
          </w:p>
          <w:p w:rsidR="007D3BD3" w:rsidRPr="00DD3825" w:rsidRDefault="007D3BD3" w:rsidP="00211042">
            <w:pPr>
              <w:pStyle w:val="ListParagraph"/>
              <w:numPr>
                <w:ilvl w:val="0"/>
                <w:numId w:val="31"/>
              </w:numPr>
              <w:jc w:val="left"/>
            </w:pPr>
            <w:r w:rsidRPr="00DD3825">
              <w:lastRenderedPageBreak/>
              <w:t>Title 24 Table 120.1-A</w:t>
            </w:r>
            <w:r w:rsidRPr="00DD3825">
              <w:fldChar w:fldCharType="begin"/>
            </w:r>
            <w:r w:rsidRPr="00DD3825">
              <w:instrText xml:space="preserve"> NOTEREF _Ref384193100 \f \h  \* MERGEFORMAT </w:instrText>
            </w:r>
            <w:r w:rsidRPr="00DD3825">
              <w:fldChar w:fldCharType="separate"/>
            </w:r>
            <w:r w:rsidR="00B424F3" w:rsidRPr="00B424F3">
              <w:rPr>
                <w:rStyle w:val="EndnoteReference"/>
              </w:rPr>
              <w:t>1</w:t>
            </w:r>
            <w:r w:rsidRPr="00DD3825">
              <w:fldChar w:fldCharType="end"/>
            </w:r>
            <w:r w:rsidRPr="00DD3825">
              <w:t xml:space="preserve"> Minimum Ventilation Rate</w:t>
            </w:r>
          </w:p>
          <w:p w:rsidR="007D3BD3" w:rsidRPr="00DD3825" w:rsidRDefault="007D3BD3" w:rsidP="00211042">
            <w:pPr>
              <w:pStyle w:val="ListParagraph"/>
              <w:numPr>
                <w:ilvl w:val="0"/>
                <w:numId w:val="31"/>
              </w:numPr>
              <w:jc w:val="left"/>
            </w:pPr>
            <w:r w:rsidRPr="00DD3825">
              <w:t>15 CFM/person* x Peak Occupancy # of People</w:t>
            </w:r>
          </w:p>
        </w:tc>
        <w:tc>
          <w:tcPr>
            <w:tcW w:w="2988" w:type="dxa"/>
            <w:vAlign w:val="center"/>
          </w:tcPr>
          <w:p w:rsidR="007D3BD3" w:rsidRPr="00DD3825" w:rsidRDefault="007D3BD3" w:rsidP="00211042">
            <w:pPr>
              <w:jc w:val="left"/>
            </w:pPr>
            <w:r w:rsidRPr="00DD3825">
              <w:lastRenderedPageBreak/>
              <w:t>Set such that ZONE:OA-FLOW/AREA x Zone Area = Maximum of:</w:t>
            </w:r>
          </w:p>
          <w:p w:rsidR="007D3BD3" w:rsidRPr="00DD3825" w:rsidRDefault="007D3BD3" w:rsidP="00211042">
            <w:pPr>
              <w:pStyle w:val="ListParagraph"/>
              <w:numPr>
                <w:ilvl w:val="0"/>
                <w:numId w:val="29"/>
              </w:numPr>
              <w:jc w:val="left"/>
            </w:pPr>
            <w:r w:rsidRPr="00DD3825">
              <w:t xml:space="preserve">0.2 x Supply Air Flow </w:t>
            </w:r>
            <w:r w:rsidRPr="00DD3825">
              <w:lastRenderedPageBreak/>
              <w:t>Rate</w:t>
            </w:r>
          </w:p>
          <w:p w:rsidR="007D3BD3" w:rsidRPr="00DD3825" w:rsidRDefault="007D3BD3" w:rsidP="00211042">
            <w:pPr>
              <w:pStyle w:val="ListParagraph"/>
              <w:numPr>
                <w:ilvl w:val="0"/>
                <w:numId w:val="29"/>
              </w:numPr>
              <w:jc w:val="left"/>
            </w:pPr>
            <w:r w:rsidRPr="00DD3825">
              <w:t>Title 24 Table 120.1-A</w:t>
            </w:r>
            <w:r w:rsidRPr="00DD3825">
              <w:fldChar w:fldCharType="begin"/>
            </w:r>
            <w:r w:rsidRPr="00DD3825">
              <w:instrText xml:space="preserve"> NOTEREF _Ref384193100 \f \h  \* MERGEFORMAT </w:instrText>
            </w:r>
            <w:r w:rsidRPr="00DD3825">
              <w:fldChar w:fldCharType="separate"/>
            </w:r>
            <w:r w:rsidR="00B424F3" w:rsidRPr="00B424F3">
              <w:rPr>
                <w:rStyle w:val="EndnoteReference"/>
              </w:rPr>
              <w:t>1</w:t>
            </w:r>
            <w:r w:rsidRPr="00DD3825">
              <w:fldChar w:fldCharType="end"/>
            </w:r>
            <w:r w:rsidRPr="00DD3825">
              <w:t xml:space="preserve"> Minimum Ventilation Rate</w:t>
            </w:r>
          </w:p>
        </w:tc>
      </w:tr>
      <w:tr w:rsidR="007D3BD3" w:rsidRPr="00DD3825" w:rsidTr="00211042">
        <w:trPr>
          <w:cnfStyle w:val="000000010000" w:firstRow="0" w:lastRow="0" w:firstColumn="0" w:lastColumn="0" w:oddVBand="0" w:evenVBand="0" w:oddHBand="0" w:evenHBand="1" w:firstRowFirstColumn="0" w:firstRowLastColumn="0" w:lastRowFirstColumn="0" w:lastRowLastColumn="0"/>
        </w:trPr>
        <w:tc>
          <w:tcPr>
            <w:tcW w:w="3010" w:type="dxa"/>
            <w:vAlign w:val="center"/>
          </w:tcPr>
          <w:p w:rsidR="007D3BD3" w:rsidRPr="00DD3825" w:rsidRDefault="007D3BD3" w:rsidP="00211042">
            <w:pPr>
              <w:jc w:val="left"/>
            </w:pPr>
            <w:r w:rsidRPr="00DD3825">
              <w:lastRenderedPageBreak/>
              <w:t>SYSTEM:MIN-OA-METHOD</w:t>
            </w:r>
          </w:p>
        </w:tc>
        <w:tc>
          <w:tcPr>
            <w:tcW w:w="3578" w:type="dxa"/>
            <w:vAlign w:val="center"/>
          </w:tcPr>
          <w:p w:rsidR="007D3BD3" w:rsidRPr="00DD3825" w:rsidRDefault="007D3BD3" w:rsidP="00211042">
            <w:pPr>
              <w:jc w:val="left"/>
            </w:pPr>
            <w:r w:rsidRPr="00DD3825">
              <w:t>FRACTION-OF-DESIGN</w:t>
            </w:r>
          </w:p>
        </w:tc>
        <w:tc>
          <w:tcPr>
            <w:tcW w:w="2988" w:type="dxa"/>
            <w:vAlign w:val="center"/>
          </w:tcPr>
          <w:p w:rsidR="007D3BD3" w:rsidRPr="00DD3825" w:rsidRDefault="007D3BD3" w:rsidP="00211042">
            <w:pPr>
              <w:jc w:val="left"/>
            </w:pPr>
            <w:r w:rsidRPr="00DD3825">
              <w:t>DCV-ZONE-SENSORS</w:t>
            </w:r>
          </w:p>
        </w:tc>
      </w:tr>
    </w:tbl>
    <w:p w:rsidR="007D3BD3" w:rsidRPr="00DD3825" w:rsidRDefault="007D3BD3" w:rsidP="007D3BD3">
      <w:r w:rsidRPr="00DD3825">
        <w:t>*Outside air ventilation rate per person required by Title 24 2013 §120.1(b)2B</w:t>
      </w:r>
      <w:r w:rsidRPr="00DD3825">
        <w:fldChar w:fldCharType="begin"/>
      </w:r>
      <w:r w:rsidRPr="00DD3825">
        <w:instrText xml:space="preserve"> NOTEREF _Ref384193100 \f \h </w:instrText>
      </w:r>
      <w:r w:rsidR="00DD3825">
        <w:instrText xml:space="preserve"> \* MERGEFORMAT </w:instrText>
      </w:r>
      <w:r w:rsidRPr="00DD3825">
        <w:fldChar w:fldCharType="separate"/>
      </w:r>
      <w:r w:rsidR="00B424F3" w:rsidRPr="00B424F3">
        <w:rPr>
          <w:rStyle w:val="EndnoteReference"/>
        </w:rPr>
        <w:t>1</w:t>
      </w:r>
      <w:r w:rsidRPr="00DD3825">
        <w:fldChar w:fldCharType="end"/>
      </w:r>
    </w:p>
    <w:p w:rsidR="007D3BD3" w:rsidRPr="00DD3825" w:rsidRDefault="007D3BD3" w:rsidP="007D3BD3"/>
    <w:p w:rsidR="000E132D" w:rsidRPr="00DD3825" w:rsidRDefault="000E132D" w:rsidP="009C5CA7">
      <w:pPr>
        <w:rPr>
          <w:rFonts w:cs="Arial"/>
          <w:b/>
          <w:sz w:val="20"/>
          <w:szCs w:val="20"/>
        </w:rPr>
      </w:pPr>
    </w:p>
    <w:p w:rsidR="007D3BD3" w:rsidRPr="00DD3825" w:rsidRDefault="007D3BD3" w:rsidP="009C5CA7">
      <w:pPr>
        <w:rPr>
          <w:rFonts w:cs="Arial"/>
          <w:b/>
          <w:sz w:val="20"/>
          <w:szCs w:val="20"/>
        </w:rPr>
      </w:pPr>
      <w:bookmarkStart w:id="72" w:name="Net_to_Gross"/>
    </w:p>
    <w:p w:rsidR="00175673" w:rsidRPr="00DD3825" w:rsidRDefault="009C5CA7" w:rsidP="004D5C58">
      <w:pPr>
        <w:pStyle w:val="Heading3"/>
        <w:rPr>
          <w:i/>
        </w:rPr>
      </w:pPr>
      <w:bookmarkStart w:id="73" w:name="_Toc386811716"/>
      <w:r w:rsidRPr="00DD3825">
        <w:t>Net-to-Gross</w:t>
      </w:r>
      <w:bookmarkEnd w:id="72"/>
      <w:r w:rsidRPr="00DD3825">
        <w:t xml:space="preserve"> Assumption:</w:t>
      </w:r>
      <w:r w:rsidR="00437BE1" w:rsidRPr="00DD3825">
        <w:t xml:space="preserve"> </w:t>
      </w:r>
      <w:r w:rsidRPr="00DD3825">
        <w:rPr>
          <w:i/>
        </w:rPr>
        <w:t xml:space="preserve">List and Cite source(s) from </w:t>
      </w:r>
      <w:r w:rsidR="00175673" w:rsidRPr="00DD3825">
        <w:rPr>
          <w:i/>
        </w:rPr>
        <w:t>DEER data base or Spreadsheet</w:t>
      </w:r>
      <w:bookmarkEnd w:id="73"/>
      <w:r w:rsidR="00175673" w:rsidRPr="00DD3825">
        <w:rPr>
          <w:i/>
        </w:rPr>
        <w:t xml:space="preserve"> </w:t>
      </w:r>
    </w:p>
    <w:p w:rsidR="006B3774" w:rsidRPr="00DD3825" w:rsidRDefault="009C5CA7" w:rsidP="006B3774">
      <w:pPr>
        <w:rPr>
          <w:rFonts w:asciiTheme="minorHAnsi" w:eastAsiaTheme="minorHAnsi" w:hAnsiTheme="minorHAnsi" w:cstheme="minorBidi"/>
          <w:szCs w:val="22"/>
        </w:rPr>
      </w:pPr>
      <w:r w:rsidRPr="00DD3825">
        <w:rPr>
          <w:rFonts w:cs="Arial"/>
          <w:i/>
          <w:sz w:val="20"/>
          <w:szCs w:val="20"/>
        </w:rPr>
        <w:t xml:space="preserve">DEER spreadsheet </w:t>
      </w:r>
      <w:r w:rsidR="00D51B97">
        <w:rPr>
          <w:rFonts w:cs="Arial"/>
          <w:i/>
          <w:sz w:val="20"/>
          <w:szCs w:val="20"/>
        </w:rPr>
        <w:t>DEER2011_NTGR_2012-05-16.xls</w:t>
      </w:r>
      <w:r w:rsidR="006B3774" w:rsidRPr="00DD3825">
        <w:rPr>
          <w:rFonts w:asciiTheme="minorHAnsi" w:eastAsiaTheme="minorHAnsi" w:hAnsiTheme="minorHAnsi" w:cstheme="minorBidi"/>
          <w:szCs w:val="22"/>
        </w:rPr>
        <w:t xml:space="preserve">  </w:t>
      </w:r>
    </w:p>
    <w:p w:rsidR="006B3774" w:rsidRPr="00DD3825" w:rsidRDefault="006B3774" w:rsidP="006B3774">
      <w:pPr>
        <w:rPr>
          <w:rFonts w:asciiTheme="minorHAnsi" w:eastAsiaTheme="minorHAnsi" w:hAnsiTheme="minorHAnsi" w:cstheme="minorBidi"/>
          <w:szCs w:val="22"/>
        </w:rPr>
      </w:pPr>
    </w:p>
    <w:p w:rsidR="00D719E9" w:rsidRPr="00DD3825" w:rsidRDefault="00BE62D7" w:rsidP="00BE62D7">
      <w:r w:rsidRPr="00DD3825">
        <w:fldChar w:fldCharType="begin"/>
      </w:r>
      <w:r w:rsidRPr="00DD3825">
        <w:instrText xml:space="preserve"> REF _Ref384916409 \h </w:instrText>
      </w:r>
      <w:r w:rsidR="00DD3825">
        <w:instrText xml:space="preserve"> \* MERGEFORMAT </w:instrText>
      </w:r>
      <w:r w:rsidRPr="00DD3825">
        <w:fldChar w:fldCharType="separate"/>
      </w:r>
      <w:r w:rsidR="00B424F3" w:rsidRPr="00DD3825">
        <w:rPr>
          <w:rFonts w:cs="Arial"/>
        </w:rPr>
        <w:t xml:space="preserve">Table </w:t>
      </w:r>
      <w:r w:rsidR="00B424F3">
        <w:rPr>
          <w:rFonts w:cs="Arial"/>
          <w:noProof/>
        </w:rPr>
        <w:t>8</w:t>
      </w:r>
      <w:r w:rsidRPr="00DD3825">
        <w:fldChar w:fldCharType="end"/>
      </w:r>
      <w:r w:rsidR="008F48E1" w:rsidRPr="00DD3825">
        <w:t xml:space="preserve"> </w:t>
      </w:r>
      <w:r w:rsidR="00D719E9" w:rsidRPr="00DD3825">
        <w:t>below summarizes all applicable DEER based Net-to-Gross ratios for programs that may be used by this measure.</w:t>
      </w:r>
    </w:p>
    <w:p w:rsidR="008F48E1" w:rsidRPr="00DD3825" w:rsidRDefault="008F48E1" w:rsidP="00D719E9">
      <w:pPr>
        <w:pStyle w:val="Caption"/>
        <w:keepNext/>
        <w:jc w:val="center"/>
        <w:rPr>
          <w:rFonts w:cs="Arial"/>
        </w:rPr>
      </w:pPr>
    </w:p>
    <w:p w:rsidR="00D719E9" w:rsidRPr="00DD3825" w:rsidRDefault="00D719E9" w:rsidP="00587DDD">
      <w:pPr>
        <w:pStyle w:val="Caption"/>
        <w:keepNext/>
        <w:jc w:val="center"/>
        <w:rPr>
          <w:rFonts w:cs="Arial"/>
        </w:rPr>
      </w:pPr>
      <w:bookmarkStart w:id="74" w:name="_Ref384916409"/>
      <w:bookmarkStart w:id="75" w:name="_Toc386811748"/>
      <w:r w:rsidRPr="00DD3825">
        <w:rPr>
          <w:rFonts w:cs="Arial"/>
        </w:rPr>
        <w:t xml:space="preserve">Table </w:t>
      </w:r>
      <w:r w:rsidRPr="00DD3825">
        <w:rPr>
          <w:rFonts w:cs="Arial"/>
        </w:rPr>
        <w:fldChar w:fldCharType="begin"/>
      </w:r>
      <w:r w:rsidRPr="00DD3825">
        <w:rPr>
          <w:rFonts w:cs="Arial"/>
        </w:rPr>
        <w:instrText xml:space="preserve"> SEQ Table \* ARABIC \s 1 </w:instrText>
      </w:r>
      <w:r w:rsidRPr="00DD3825">
        <w:rPr>
          <w:rFonts w:cs="Arial"/>
        </w:rPr>
        <w:fldChar w:fldCharType="separate"/>
      </w:r>
      <w:r w:rsidR="00B424F3">
        <w:rPr>
          <w:rFonts w:cs="Arial"/>
          <w:noProof/>
        </w:rPr>
        <w:t>8</w:t>
      </w:r>
      <w:r w:rsidRPr="00DD3825">
        <w:rPr>
          <w:rFonts w:cs="Arial"/>
        </w:rPr>
        <w:fldChar w:fldCharType="end"/>
      </w:r>
      <w:bookmarkEnd w:id="74"/>
      <w:r w:rsidR="00437BE1" w:rsidRPr="00DD3825">
        <w:rPr>
          <w:rFonts w:cs="Arial"/>
        </w:rPr>
        <w:t xml:space="preserve"> </w:t>
      </w:r>
      <w:r w:rsidR="00B74917" w:rsidRPr="00DD3825">
        <w:rPr>
          <w:rFonts w:cs="Arial"/>
        </w:rPr>
        <w:t xml:space="preserve">DEER </w:t>
      </w:r>
      <w:r w:rsidRPr="00DD3825">
        <w:rPr>
          <w:rFonts w:cs="Arial"/>
        </w:rPr>
        <w:t>Net-to-Gross Ratios</w:t>
      </w:r>
      <w:bookmarkEnd w:id="75"/>
    </w:p>
    <w:tbl>
      <w:tblPr>
        <w:tblW w:w="5000" w:type="pct"/>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1705"/>
        <w:gridCol w:w="1465"/>
        <w:gridCol w:w="2969"/>
        <w:gridCol w:w="1800"/>
        <w:gridCol w:w="1637"/>
      </w:tblGrid>
      <w:tr w:rsidR="00341CE5" w:rsidRPr="00DD3825" w:rsidTr="00341CE5">
        <w:trPr>
          <w:jc w:val="center"/>
        </w:trPr>
        <w:tc>
          <w:tcPr>
            <w:tcW w:w="890" w:type="pct"/>
            <w:shd w:val="clear" w:color="auto" w:fill="262626"/>
            <w:vAlign w:val="bottom"/>
          </w:tcPr>
          <w:p w:rsidR="00341CE5" w:rsidRPr="00DD3825" w:rsidRDefault="00341CE5" w:rsidP="00587DDD">
            <w:pPr>
              <w:keepNext/>
              <w:keepLines/>
              <w:jc w:val="center"/>
              <w:rPr>
                <w:rFonts w:cs="Arial"/>
                <w:b/>
                <w:bCs/>
                <w:sz w:val="20"/>
                <w:szCs w:val="20"/>
              </w:rPr>
            </w:pPr>
          </w:p>
        </w:tc>
        <w:tc>
          <w:tcPr>
            <w:tcW w:w="765" w:type="pct"/>
            <w:shd w:val="clear" w:color="auto" w:fill="262626"/>
            <w:vAlign w:val="bottom"/>
          </w:tcPr>
          <w:p w:rsidR="00341CE5" w:rsidRPr="00DD3825" w:rsidRDefault="00341CE5" w:rsidP="00587DDD">
            <w:pPr>
              <w:keepNext/>
              <w:keepLines/>
              <w:jc w:val="center"/>
              <w:rPr>
                <w:rFonts w:cs="Arial"/>
                <w:b/>
                <w:bCs/>
                <w:sz w:val="20"/>
                <w:szCs w:val="20"/>
              </w:rPr>
            </w:pPr>
          </w:p>
        </w:tc>
        <w:tc>
          <w:tcPr>
            <w:tcW w:w="2490" w:type="pct"/>
            <w:gridSpan w:val="2"/>
            <w:shd w:val="clear" w:color="auto" w:fill="262626"/>
            <w:vAlign w:val="bottom"/>
          </w:tcPr>
          <w:p w:rsidR="00341CE5" w:rsidRPr="00DD3825" w:rsidRDefault="00341CE5" w:rsidP="00587DDD">
            <w:pPr>
              <w:keepNext/>
              <w:keepLines/>
              <w:jc w:val="center"/>
              <w:rPr>
                <w:rFonts w:cs="Arial"/>
                <w:b/>
                <w:bCs/>
                <w:sz w:val="20"/>
                <w:szCs w:val="20"/>
              </w:rPr>
            </w:pPr>
            <w:r w:rsidRPr="00DD3825">
              <w:rPr>
                <w:rFonts w:cs="Arial"/>
                <w:b/>
                <w:bCs/>
                <w:sz w:val="20"/>
                <w:szCs w:val="20"/>
              </w:rPr>
              <w:t>DEER Spreadsheet</w:t>
            </w:r>
          </w:p>
        </w:tc>
        <w:tc>
          <w:tcPr>
            <w:tcW w:w="855" w:type="pct"/>
            <w:shd w:val="clear" w:color="auto" w:fill="262626"/>
          </w:tcPr>
          <w:p w:rsidR="00341CE5" w:rsidRPr="00DD3825" w:rsidRDefault="00341CE5" w:rsidP="00587DDD">
            <w:pPr>
              <w:keepNext/>
              <w:keepLines/>
              <w:jc w:val="center"/>
              <w:rPr>
                <w:rFonts w:cs="Arial"/>
                <w:b/>
                <w:bCs/>
                <w:sz w:val="20"/>
                <w:szCs w:val="20"/>
              </w:rPr>
            </w:pPr>
          </w:p>
        </w:tc>
      </w:tr>
      <w:tr w:rsidR="00341CE5" w:rsidRPr="00DD3825" w:rsidTr="00341CE5">
        <w:trPr>
          <w:jc w:val="center"/>
        </w:trPr>
        <w:tc>
          <w:tcPr>
            <w:tcW w:w="890" w:type="pct"/>
            <w:shd w:val="pct5" w:color="000000" w:fill="FFFFFF"/>
            <w:vAlign w:val="bottom"/>
          </w:tcPr>
          <w:p w:rsidR="00341CE5" w:rsidRPr="00DD3825" w:rsidRDefault="00341CE5" w:rsidP="00587DDD">
            <w:pPr>
              <w:keepNext/>
              <w:jc w:val="center"/>
              <w:rPr>
                <w:rFonts w:cs="Arial"/>
                <w:sz w:val="20"/>
                <w:szCs w:val="20"/>
              </w:rPr>
            </w:pPr>
            <w:r w:rsidRPr="00DD3825">
              <w:rPr>
                <w:rFonts w:cs="Arial"/>
                <w:sz w:val="20"/>
                <w:szCs w:val="20"/>
              </w:rPr>
              <w:t>Program Approach</w:t>
            </w:r>
          </w:p>
        </w:tc>
        <w:tc>
          <w:tcPr>
            <w:tcW w:w="765" w:type="pct"/>
            <w:shd w:val="pct5" w:color="000000" w:fill="FFFFFF"/>
            <w:vAlign w:val="bottom"/>
          </w:tcPr>
          <w:p w:rsidR="00341CE5" w:rsidRPr="00DD3825" w:rsidRDefault="00341CE5" w:rsidP="00587DDD">
            <w:pPr>
              <w:keepNext/>
              <w:jc w:val="center"/>
              <w:rPr>
                <w:rFonts w:cs="Arial"/>
                <w:sz w:val="20"/>
                <w:szCs w:val="20"/>
              </w:rPr>
            </w:pPr>
            <w:r w:rsidRPr="00DD3825">
              <w:rPr>
                <w:rFonts w:cs="Arial"/>
                <w:sz w:val="20"/>
                <w:szCs w:val="20"/>
              </w:rPr>
              <w:t>NTG ID</w:t>
            </w:r>
          </w:p>
        </w:tc>
        <w:tc>
          <w:tcPr>
            <w:tcW w:w="1550" w:type="pct"/>
            <w:shd w:val="pct5" w:color="000000" w:fill="FFFFFF"/>
            <w:vAlign w:val="bottom"/>
          </w:tcPr>
          <w:p w:rsidR="00341CE5" w:rsidRPr="00DD3825" w:rsidRDefault="00341CE5" w:rsidP="00587DDD">
            <w:pPr>
              <w:keepNext/>
              <w:jc w:val="center"/>
              <w:rPr>
                <w:rFonts w:cs="Arial"/>
                <w:sz w:val="20"/>
                <w:szCs w:val="20"/>
              </w:rPr>
            </w:pPr>
            <w:r w:rsidRPr="00DD3825">
              <w:rPr>
                <w:rFonts w:cs="Arial"/>
                <w:sz w:val="20"/>
                <w:szCs w:val="20"/>
              </w:rPr>
              <w:t>NTG Description</w:t>
            </w:r>
          </w:p>
        </w:tc>
        <w:tc>
          <w:tcPr>
            <w:tcW w:w="940" w:type="pct"/>
            <w:shd w:val="pct5" w:color="000000" w:fill="FFFFFF"/>
            <w:vAlign w:val="bottom"/>
          </w:tcPr>
          <w:p w:rsidR="00341CE5" w:rsidRPr="00DD3825" w:rsidRDefault="00341CE5" w:rsidP="006431F6">
            <w:pPr>
              <w:keepNext/>
              <w:jc w:val="center"/>
              <w:rPr>
                <w:rFonts w:cs="Arial"/>
                <w:sz w:val="20"/>
                <w:szCs w:val="20"/>
              </w:rPr>
            </w:pPr>
            <w:r w:rsidRPr="00DD3825">
              <w:rPr>
                <w:rFonts w:cs="Arial"/>
                <w:sz w:val="20"/>
                <w:szCs w:val="20"/>
              </w:rPr>
              <w:t>Version</w:t>
            </w:r>
          </w:p>
        </w:tc>
        <w:tc>
          <w:tcPr>
            <w:tcW w:w="855" w:type="pct"/>
            <w:shd w:val="pct5" w:color="000000" w:fill="FFFFFF"/>
          </w:tcPr>
          <w:p w:rsidR="00341CE5" w:rsidRDefault="00341CE5" w:rsidP="006431F6">
            <w:pPr>
              <w:keepNext/>
              <w:jc w:val="center"/>
              <w:rPr>
                <w:rFonts w:cs="Arial"/>
                <w:sz w:val="20"/>
                <w:szCs w:val="20"/>
              </w:rPr>
            </w:pPr>
          </w:p>
          <w:p w:rsidR="00341CE5" w:rsidRPr="00DD3825" w:rsidRDefault="00341CE5" w:rsidP="006431F6">
            <w:pPr>
              <w:keepNext/>
              <w:jc w:val="center"/>
              <w:rPr>
                <w:rFonts w:cs="Arial"/>
                <w:sz w:val="20"/>
                <w:szCs w:val="20"/>
              </w:rPr>
            </w:pPr>
            <w:r>
              <w:rPr>
                <w:rFonts w:cs="Arial"/>
                <w:sz w:val="20"/>
                <w:szCs w:val="20"/>
              </w:rPr>
              <w:t>NTG</w:t>
            </w:r>
          </w:p>
        </w:tc>
      </w:tr>
      <w:tr w:rsidR="00341CE5" w:rsidRPr="00DD3825" w:rsidTr="00341CE5">
        <w:trPr>
          <w:jc w:val="center"/>
        </w:trPr>
        <w:tc>
          <w:tcPr>
            <w:tcW w:w="890" w:type="pct"/>
            <w:shd w:val="pct20" w:color="000000" w:fill="FFFFFF"/>
            <w:vAlign w:val="center"/>
          </w:tcPr>
          <w:p w:rsidR="00341CE5" w:rsidRPr="00DD3825" w:rsidRDefault="00341CE5" w:rsidP="00341CE5">
            <w:pPr>
              <w:jc w:val="center"/>
              <w:rPr>
                <w:rFonts w:cs="Arial"/>
                <w:sz w:val="20"/>
                <w:szCs w:val="20"/>
              </w:rPr>
            </w:pPr>
            <w:r w:rsidRPr="00DD3825">
              <w:rPr>
                <w:rFonts w:cs="Arial"/>
                <w:sz w:val="20"/>
                <w:szCs w:val="20"/>
              </w:rPr>
              <w:t>Demand controlled ventilation for single zone packaged HVAC</w:t>
            </w:r>
          </w:p>
        </w:tc>
        <w:tc>
          <w:tcPr>
            <w:tcW w:w="765" w:type="pct"/>
            <w:shd w:val="pct20" w:color="000000" w:fill="FFFFFF"/>
            <w:vAlign w:val="center"/>
          </w:tcPr>
          <w:p w:rsidR="00341CE5" w:rsidRPr="00DD3825" w:rsidRDefault="00341CE5" w:rsidP="00341CE5">
            <w:pPr>
              <w:jc w:val="center"/>
              <w:rPr>
                <w:rFonts w:cs="Arial"/>
                <w:sz w:val="20"/>
                <w:szCs w:val="20"/>
              </w:rPr>
            </w:pPr>
            <w:r w:rsidRPr="00DD3825">
              <w:rPr>
                <w:rFonts w:cs="Arial"/>
                <w:sz w:val="20"/>
                <w:szCs w:val="20"/>
              </w:rPr>
              <w:t>Com-Default&gt;2yrs</w:t>
            </w:r>
          </w:p>
        </w:tc>
        <w:tc>
          <w:tcPr>
            <w:tcW w:w="1550" w:type="pct"/>
            <w:shd w:val="pct20" w:color="000000" w:fill="FFFFFF"/>
            <w:vAlign w:val="center"/>
          </w:tcPr>
          <w:p w:rsidR="00341CE5" w:rsidRPr="00DD3825" w:rsidRDefault="00341CE5" w:rsidP="00341CE5">
            <w:pPr>
              <w:jc w:val="center"/>
              <w:rPr>
                <w:rFonts w:cs="Arial"/>
                <w:sz w:val="20"/>
                <w:szCs w:val="20"/>
              </w:rPr>
            </w:pPr>
            <w:r w:rsidRPr="00DD3825">
              <w:t>All other EEMs with no evaluated NTGR; existing EEM in programs with same delivery mechanism for more than 2 years</w:t>
            </w:r>
          </w:p>
        </w:tc>
        <w:tc>
          <w:tcPr>
            <w:tcW w:w="940" w:type="pct"/>
            <w:shd w:val="pct20" w:color="000000" w:fill="FFFFFF"/>
            <w:vAlign w:val="center"/>
          </w:tcPr>
          <w:p w:rsidR="00341CE5" w:rsidRPr="00DD3825" w:rsidRDefault="00341CE5" w:rsidP="00341CE5">
            <w:pPr>
              <w:jc w:val="center"/>
            </w:pPr>
            <w:r w:rsidRPr="00DD3825">
              <w:t>DEER2011</w:t>
            </w:r>
          </w:p>
          <w:p w:rsidR="00341CE5" w:rsidRPr="00DD3825" w:rsidRDefault="00341CE5" w:rsidP="00341CE5">
            <w:pPr>
              <w:jc w:val="center"/>
              <w:rPr>
                <w:rFonts w:ascii="Calibri" w:eastAsiaTheme="minorEastAsia" w:hAnsi="Calibri" w:cs="Calibri"/>
                <w:szCs w:val="22"/>
              </w:rPr>
            </w:pPr>
            <w:r w:rsidRPr="00DD3825">
              <w:t>D11 v4.00</w:t>
            </w:r>
          </w:p>
          <w:p w:rsidR="00341CE5" w:rsidRPr="00DD3825" w:rsidRDefault="00341CE5" w:rsidP="00341CE5">
            <w:pPr>
              <w:jc w:val="center"/>
              <w:rPr>
                <w:rFonts w:cs="Arial"/>
                <w:sz w:val="20"/>
                <w:szCs w:val="20"/>
              </w:rPr>
            </w:pPr>
          </w:p>
        </w:tc>
        <w:tc>
          <w:tcPr>
            <w:tcW w:w="855" w:type="pct"/>
            <w:shd w:val="pct20" w:color="000000" w:fill="FFFFFF"/>
            <w:vAlign w:val="center"/>
          </w:tcPr>
          <w:p w:rsidR="00341CE5" w:rsidRPr="00DD3825" w:rsidRDefault="00341CE5" w:rsidP="00341CE5">
            <w:pPr>
              <w:jc w:val="center"/>
            </w:pPr>
            <w:r>
              <w:t>0.6</w:t>
            </w:r>
          </w:p>
        </w:tc>
      </w:tr>
    </w:tbl>
    <w:p w:rsidR="009C5CA7" w:rsidRPr="00DD3825" w:rsidRDefault="009C5CA7" w:rsidP="009C5CA7">
      <w:pPr>
        <w:rPr>
          <w:rFonts w:cs="Arial"/>
          <w:sz w:val="20"/>
          <w:szCs w:val="20"/>
        </w:rPr>
      </w:pPr>
    </w:p>
    <w:p w:rsidR="008F48E1" w:rsidRPr="00DD3825" w:rsidRDefault="008F48E1" w:rsidP="009C5CA7">
      <w:pPr>
        <w:rPr>
          <w:rFonts w:cs="Arial"/>
          <w:sz w:val="20"/>
          <w:szCs w:val="20"/>
        </w:rPr>
      </w:pPr>
      <w:r w:rsidRPr="00DD3825">
        <w:rPr>
          <w:rFonts w:cs="Arial"/>
          <w:sz w:val="20"/>
          <w:szCs w:val="20"/>
        </w:rPr>
        <w:t xml:space="preserve">The NTG Ratios in Table </w:t>
      </w:r>
      <w:r w:rsidR="00D51B97">
        <w:rPr>
          <w:rFonts w:cs="Arial"/>
          <w:sz w:val="20"/>
          <w:szCs w:val="20"/>
        </w:rPr>
        <w:t>8</w:t>
      </w:r>
      <w:r w:rsidRPr="00DD3825">
        <w:rPr>
          <w:rFonts w:cs="Arial"/>
          <w:sz w:val="20"/>
          <w:szCs w:val="20"/>
        </w:rPr>
        <w:t xml:space="preserve"> are appropriate for the measure(s) because:</w:t>
      </w:r>
    </w:p>
    <w:p w:rsidR="008F48E1" w:rsidRPr="00DD3825" w:rsidRDefault="00D51B97" w:rsidP="008F48E1">
      <w:pPr>
        <w:numPr>
          <w:ilvl w:val="0"/>
          <w:numId w:val="13"/>
        </w:numPr>
        <w:tabs>
          <w:tab w:val="clear" w:pos="1440"/>
        </w:tabs>
        <w:ind w:left="720"/>
        <w:rPr>
          <w:rFonts w:cs="Arial"/>
          <w:sz w:val="20"/>
          <w:szCs w:val="20"/>
        </w:rPr>
      </w:pPr>
      <w:r>
        <w:rPr>
          <w:rFonts w:cs="Arial"/>
          <w:sz w:val="20"/>
          <w:szCs w:val="20"/>
        </w:rPr>
        <w:t>This is a commercial program with no evaluated NTGR.</w:t>
      </w:r>
    </w:p>
    <w:p w:rsidR="008F48E1" w:rsidRPr="00DD3825" w:rsidRDefault="00D51B97" w:rsidP="008F48E1">
      <w:pPr>
        <w:numPr>
          <w:ilvl w:val="0"/>
          <w:numId w:val="13"/>
        </w:numPr>
        <w:tabs>
          <w:tab w:val="clear" w:pos="1440"/>
        </w:tabs>
        <w:ind w:left="720"/>
        <w:rPr>
          <w:rFonts w:cs="Arial"/>
          <w:sz w:val="20"/>
          <w:szCs w:val="20"/>
        </w:rPr>
      </w:pPr>
      <w:r>
        <w:rPr>
          <w:rFonts w:cs="Arial"/>
          <w:sz w:val="20"/>
          <w:szCs w:val="20"/>
        </w:rPr>
        <w:t xml:space="preserve">The same program delivery mechanism has been in place for more than 2 years. </w:t>
      </w:r>
    </w:p>
    <w:p w:rsidR="002F2D19" w:rsidRPr="00DD3825" w:rsidRDefault="009C5CA7" w:rsidP="004D5C58">
      <w:pPr>
        <w:pStyle w:val="Heading3"/>
      </w:pPr>
      <w:bookmarkStart w:id="76" w:name="_Toc386811717"/>
      <w:r w:rsidRPr="00DD3825">
        <w:t>Effective Useful Life</w:t>
      </w:r>
      <w:r w:rsidR="00D719E9" w:rsidRPr="00DD3825">
        <w:t xml:space="preserve"> / Remaining Useful Life</w:t>
      </w:r>
      <w:r w:rsidRPr="00DD3825">
        <w:t>:</w:t>
      </w:r>
      <w:bookmarkEnd w:id="76"/>
      <w:r w:rsidR="00437BE1" w:rsidRPr="00DD3825">
        <w:t xml:space="preserve"> </w:t>
      </w:r>
    </w:p>
    <w:p w:rsidR="0048008C" w:rsidRPr="00DD3825" w:rsidRDefault="00FD0021" w:rsidP="00AB675E">
      <w:r w:rsidRPr="00DD3825">
        <w:t xml:space="preserve">Since this measure is a retrofit on an existing system the RUL of the </w:t>
      </w:r>
      <w:r w:rsidR="00117BCF" w:rsidRPr="00DD3825">
        <w:t xml:space="preserve">existing </w:t>
      </w:r>
      <w:r w:rsidRPr="00DD3825">
        <w:t xml:space="preserve">system is used as the EUL for the measure. The EUL for the measure is 5 years. </w:t>
      </w:r>
      <w:r w:rsidR="00117BCF" w:rsidRPr="00DD3825">
        <w:fldChar w:fldCharType="begin"/>
      </w:r>
      <w:r w:rsidR="00117BCF" w:rsidRPr="00DD3825">
        <w:instrText xml:space="preserve"> REF _Ref384803664 \h </w:instrText>
      </w:r>
      <w:r w:rsidR="00AB675E" w:rsidRPr="00DD3825">
        <w:instrText xml:space="preserve"> \* MERGEFORMAT </w:instrText>
      </w:r>
      <w:r w:rsidR="00117BCF" w:rsidRPr="00DD3825">
        <w:fldChar w:fldCharType="separate"/>
      </w:r>
      <w:r w:rsidR="00B424F3" w:rsidRPr="00DD3825">
        <w:t xml:space="preserve">Table </w:t>
      </w:r>
      <w:r w:rsidR="00B424F3">
        <w:rPr>
          <w:noProof/>
        </w:rPr>
        <w:t>9</w:t>
      </w:r>
      <w:r w:rsidR="00117BCF" w:rsidRPr="00DD3825">
        <w:fldChar w:fldCharType="end"/>
      </w:r>
      <w:r w:rsidR="00117BCF" w:rsidRPr="00DD3825">
        <w:t xml:space="preserve"> provides DEER EUL and RUL data for packaged HVAC systems.</w:t>
      </w:r>
    </w:p>
    <w:p w:rsidR="004D7301" w:rsidRPr="00DD3825" w:rsidRDefault="004D7301" w:rsidP="00FA595F">
      <w:pPr>
        <w:rPr>
          <w:rFonts w:cs="Arial"/>
          <w:i/>
          <w:sz w:val="20"/>
          <w:szCs w:val="20"/>
        </w:rPr>
      </w:pPr>
    </w:p>
    <w:p w:rsidR="00FD0021" w:rsidRPr="00DD3825" w:rsidRDefault="00FD0021" w:rsidP="00FD0021">
      <w:pPr>
        <w:pStyle w:val="Caption"/>
        <w:keepNext/>
        <w:jc w:val="center"/>
      </w:pPr>
      <w:bookmarkStart w:id="77" w:name="_Ref384803664"/>
      <w:bookmarkStart w:id="78" w:name="_Toc386811749"/>
      <w:r w:rsidRPr="00DD3825">
        <w:t xml:space="preserve">Table </w:t>
      </w:r>
      <w:r w:rsidR="00FF41C5">
        <w:fldChar w:fldCharType="begin"/>
      </w:r>
      <w:r w:rsidR="00FF41C5">
        <w:instrText xml:space="preserve"> SEQ Table \* ARABIC </w:instrText>
      </w:r>
      <w:r w:rsidR="00FF41C5">
        <w:fldChar w:fldCharType="separate"/>
      </w:r>
      <w:r w:rsidR="00B424F3">
        <w:rPr>
          <w:noProof/>
        </w:rPr>
        <w:t>9</w:t>
      </w:r>
      <w:r w:rsidR="00FF41C5">
        <w:rPr>
          <w:noProof/>
        </w:rPr>
        <w:fldChar w:fldCharType="end"/>
      </w:r>
      <w:bookmarkEnd w:id="77"/>
      <w:r w:rsidRPr="00DD3825">
        <w:t xml:space="preserve"> Effective Useful Life: DEER Version and Impact IDs</w:t>
      </w:r>
      <w:bookmarkEnd w:id="78"/>
    </w:p>
    <w:tbl>
      <w:tblPr>
        <w:tblStyle w:val="PGEWorkPaper"/>
        <w:tblW w:w="0" w:type="auto"/>
        <w:tblLook w:val="00A0" w:firstRow="1" w:lastRow="0" w:firstColumn="1" w:lastColumn="0" w:noHBand="0" w:noVBand="0"/>
      </w:tblPr>
      <w:tblGrid>
        <w:gridCol w:w="1499"/>
        <w:gridCol w:w="1443"/>
        <w:gridCol w:w="1472"/>
        <w:gridCol w:w="1086"/>
        <w:gridCol w:w="1097"/>
        <w:gridCol w:w="1341"/>
        <w:gridCol w:w="1638"/>
      </w:tblGrid>
      <w:tr w:rsidR="00FD0021" w:rsidRPr="00DD3825" w:rsidTr="00FD0021">
        <w:trPr>
          <w:cnfStyle w:val="100000000000" w:firstRow="1" w:lastRow="0" w:firstColumn="0" w:lastColumn="0" w:oddVBand="0" w:evenVBand="0" w:oddHBand="0" w:evenHBand="0" w:firstRowFirstColumn="0" w:firstRowLastColumn="0" w:lastRowFirstColumn="0" w:lastRowLastColumn="0"/>
        </w:trPr>
        <w:tc>
          <w:tcPr>
            <w:tcW w:w="0" w:type="auto"/>
          </w:tcPr>
          <w:p w:rsidR="004D7301" w:rsidRPr="00DD3825" w:rsidRDefault="004D7301" w:rsidP="00FD0021">
            <w:pPr>
              <w:rPr>
                <w:color w:val="auto"/>
              </w:rPr>
            </w:pPr>
            <w:r w:rsidRPr="00DD3825">
              <w:rPr>
                <w:color w:val="auto"/>
              </w:rPr>
              <w:t>Building type</w:t>
            </w:r>
            <w:r w:rsidR="00437BE1" w:rsidRPr="00DD3825">
              <w:rPr>
                <w:color w:val="auto"/>
              </w:rPr>
              <w:t xml:space="preserve"> </w:t>
            </w:r>
          </w:p>
        </w:tc>
        <w:tc>
          <w:tcPr>
            <w:tcW w:w="0" w:type="auto"/>
          </w:tcPr>
          <w:p w:rsidR="004D7301" w:rsidRPr="00DD3825" w:rsidRDefault="004D7301" w:rsidP="00FD0021">
            <w:pPr>
              <w:rPr>
                <w:color w:val="auto"/>
              </w:rPr>
            </w:pPr>
            <w:r w:rsidRPr="00DD3825">
              <w:rPr>
                <w:color w:val="auto"/>
              </w:rPr>
              <w:t>Bldg Vintage</w:t>
            </w:r>
            <w:r w:rsidR="00437BE1" w:rsidRPr="00DD3825">
              <w:rPr>
                <w:color w:val="auto"/>
              </w:rPr>
              <w:t xml:space="preserve"> </w:t>
            </w:r>
          </w:p>
        </w:tc>
        <w:tc>
          <w:tcPr>
            <w:tcW w:w="0" w:type="auto"/>
          </w:tcPr>
          <w:p w:rsidR="004D7301" w:rsidRPr="00DD3825" w:rsidRDefault="004D7301" w:rsidP="00FD0021">
            <w:pPr>
              <w:rPr>
                <w:color w:val="auto"/>
              </w:rPr>
            </w:pPr>
            <w:r w:rsidRPr="00DD3825">
              <w:rPr>
                <w:color w:val="auto"/>
              </w:rPr>
              <w:t>Climate Zone</w:t>
            </w:r>
            <w:r w:rsidR="00437BE1" w:rsidRPr="00DD3825">
              <w:rPr>
                <w:color w:val="auto"/>
              </w:rPr>
              <w:t xml:space="preserve"> </w:t>
            </w:r>
          </w:p>
        </w:tc>
        <w:tc>
          <w:tcPr>
            <w:tcW w:w="0" w:type="auto"/>
          </w:tcPr>
          <w:p w:rsidR="004D7301" w:rsidRPr="00DD3825" w:rsidRDefault="004D7301" w:rsidP="00FD0021">
            <w:pPr>
              <w:rPr>
                <w:color w:val="auto"/>
              </w:rPr>
            </w:pPr>
            <w:r w:rsidRPr="00DD3825">
              <w:rPr>
                <w:color w:val="auto"/>
              </w:rPr>
              <w:t>EUL (yrs)</w:t>
            </w:r>
          </w:p>
        </w:tc>
        <w:tc>
          <w:tcPr>
            <w:tcW w:w="0" w:type="auto"/>
          </w:tcPr>
          <w:p w:rsidR="004D7301" w:rsidRPr="00DD3825" w:rsidRDefault="004D7301" w:rsidP="00FD0021">
            <w:pPr>
              <w:rPr>
                <w:color w:val="auto"/>
              </w:rPr>
            </w:pPr>
            <w:r w:rsidRPr="00DD3825">
              <w:rPr>
                <w:color w:val="auto"/>
              </w:rPr>
              <w:t>RUL (yrs)</w:t>
            </w:r>
          </w:p>
        </w:tc>
        <w:tc>
          <w:tcPr>
            <w:tcW w:w="1341" w:type="dxa"/>
          </w:tcPr>
          <w:p w:rsidR="004D7301" w:rsidRPr="00DD3825" w:rsidRDefault="004D7301" w:rsidP="00FD0021">
            <w:pPr>
              <w:rPr>
                <w:color w:val="auto"/>
              </w:rPr>
            </w:pPr>
            <w:r w:rsidRPr="00DD3825">
              <w:rPr>
                <w:color w:val="auto"/>
              </w:rPr>
              <w:t>DEER Version</w:t>
            </w:r>
          </w:p>
        </w:tc>
        <w:tc>
          <w:tcPr>
            <w:tcW w:w="1638" w:type="dxa"/>
          </w:tcPr>
          <w:p w:rsidR="004D7301" w:rsidRPr="00DD3825" w:rsidRDefault="004D7301" w:rsidP="00FD0021">
            <w:pPr>
              <w:rPr>
                <w:color w:val="auto"/>
              </w:rPr>
            </w:pPr>
            <w:r w:rsidRPr="00DD3825">
              <w:rPr>
                <w:color w:val="auto"/>
              </w:rPr>
              <w:t>Impact IDs</w:t>
            </w:r>
          </w:p>
        </w:tc>
      </w:tr>
      <w:tr w:rsidR="00FD0021" w:rsidRPr="00DD3825" w:rsidTr="00FD0021">
        <w:trPr>
          <w:cnfStyle w:val="000000100000" w:firstRow="0" w:lastRow="0" w:firstColumn="0" w:lastColumn="0" w:oddVBand="0" w:evenVBand="0" w:oddHBand="1" w:evenHBand="0" w:firstRowFirstColumn="0" w:firstRowLastColumn="0" w:lastRowFirstColumn="0" w:lastRowLastColumn="0"/>
        </w:trPr>
        <w:tc>
          <w:tcPr>
            <w:tcW w:w="0" w:type="auto"/>
          </w:tcPr>
          <w:p w:rsidR="004D7301" w:rsidRPr="00DD3825" w:rsidRDefault="00FD0021" w:rsidP="00FD0021">
            <w:pPr>
              <w:rPr>
                <w:b/>
              </w:rPr>
            </w:pPr>
            <w:r w:rsidRPr="00DD3825">
              <w:rPr>
                <w:b/>
              </w:rPr>
              <w:t>All</w:t>
            </w:r>
          </w:p>
        </w:tc>
        <w:tc>
          <w:tcPr>
            <w:tcW w:w="0" w:type="auto"/>
          </w:tcPr>
          <w:p w:rsidR="004D7301" w:rsidRPr="00DD3825" w:rsidRDefault="00FD0021" w:rsidP="00FD0021">
            <w:pPr>
              <w:rPr>
                <w:b/>
              </w:rPr>
            </w:pPr>
            <w:r w:rsidRPr="00DD3825">
              <w:rPr>
                <w:b/>
              </w:rPr>
              <w:t>All</w:t>
            </w:r>
          </w:p>
        </w:tc>
        <w:tc>
          <w:tcPr>
            <w:tcW w:w="0" w:type="auto"/>
          </w:tcPr>
          <w:p w:rsidR="004D7301" w:rsidRPr="00DD3825" w:rsidRDefault="00FD0021" w:rsidP="00FD0021">
            <w:pPr>
              <w:rPr>
                <w:b/>
              </w:rPr>
            </w:pPr>
            <w:r w:rsidRPr="00DD3825">
              <w:rPr>
                <w:b/>
              </w:rPr>
              <w:t>All</w:t>
            </w:r>
          </w:p>
        </w:tc>
        <w:tc>
          <w:tcPr>
            <w:tcW w:w="0" w:type="auto"/>
          </w:tcPr>
          <w:p w:rsidR="004D7301" w:rsidRPr="00DD3825" w:rsidRDefault="00FD0021" w:rsidP="00FD0021">
            <w:pPr>
              <w:rPr>
                <w:b/>
              </w:rPr>
            </w:pPr>
            <w:r w:rsidRPr="00DD3825">
              <w:rPr>
                <w:b/>
              </w:rPr>
              <w:t>15</w:t>
            </w:r>
          </w:p>
        </w:tc>
        <w:tc>
          <w:tcPr>
            <w:tcW w:w="0" w:type="auto"/>
          </w:tcPr>
          <w:p w:rsidR="004D7301" w:rsidRPr="00DD3825" w:rsidRDefault="00FD0021" w:rsidP="00FD0021">
            <w:pPr>
              <w:rPr>
                <w:b/>
              </w:rPr>
            </w:pPr>
            <w:r w:rsidRPr="00DD3825">
              <w:rPr>
                <w:b/>
              </w:rPr>
              <w:t>5</w:t>
            </w:r>
          </w:p>
        </w:tc>
        <w:tc>
          <w:tcPr>
            <w:tcW w:w="1341" w:type="dxa"/>
          </w:tcPr>
          <w:p w:rsidR="004D7301" w:rsidRPr="00DD3825" w:rsidRDefault="00FD0021" w:rsidP="00FD0021">
            <w:pPr>
              <w:rPr>
                <w:b/>
              </w:rPr>
            </w:pPr>
            <w:r w:rsidRPr="00DD3825">
              <w:rPr>
                <w:b/>
              </w:rPr>
              <w:t>2014</w:t>
            </w:r>
          </w:p>
        </w:tc>
        <w:tc>
          <w:tcPr>
            <w:tcW w:w="1638" w:type="dxa"/>
          </w:tcPr>
          <w:p w:rsidR="00FD0021" w:rsidRPr="00DD3825" w:rsidRDefault="00FD0021" w:rsidP="00FD0021">
            <w:pPr>
              <w:rPr>
                <w:b/>
              </w:rPr>
            </w:pPr>
            <w:r w:rsidRPr="00DD3825">
              <w:rPr>
                <w:b/>
              </w:rPr>
              <w:t xml:space="preserve">HVAC-airHP, </w:t>
            </w:r>
          </w:p>
          <w:p w:rsidR="004D7301" w:rsidRPr="00DD3825" w:rsidRDefault="00FD0021" w:rsidP="00FD0021">
            <w:pPr>
              <w:rPr>
                <w:b/>
              </w:rPr>
            </w:pPr>
            <w:r w:rsidRPr="00DD3825">
              <w:rPr>
                <w:b/>
              </w:rPr>
              <w:t>HVAC-airAC</w:t>
            </w:r>
          </w:p>
        </w:tc>
      </w:tr>
    </w:tbl>
    <w:p w:rsidR="00F96A18" w:rsidRPr="00DD3825" w:rsidRDefault="00F96A18" w:rsidP="006B3774">
      <w:pPr>
        <w:rPr>
          <w:rFonts w:cs="Arial"/>
          <w:b/>
          <w:sz w:val="20"/>
          <w:szCs w:val="20"/>
        </w:rPr>
      </w:pPr>
    </w:p>
    <w:p w:rsidR="00FD0021" w:rsidRPr="00DD3825" w:rsidRDefault="00020042" w:rsidP="004D5C58">
      <w:pPr>
        <w:pStyle w:val="Heading3"/>
      </w:pPr>
      <w:bookmarkStart w:id="79" w:name="_Toc386811718"/>
      <w:r w:rsidRPr="00DD3825">
        <w:t>In-service rate</w:t>
      </w:r>
      <w:r w:rsidR="00806070" w:rsidRPr="00DD3825">
        <w:t>/first year installation rate:</w:t>
      </w:r>
      <w:bookmarkEnd w:id="79"/>
    </w:p>
    <w:p w:rsidR="008F48E1" w:rsidRPr="00DD3825" w:rsidRDefault="00FD0021" w:rsidP="000F11DD">
      <w:r w:rsidRPr="00DD3825">
        <w:t>Since this is a new measure with no available DEER or energy measurement and verification (EM&amp;V) data available the In-service rate is 1.0.</w:t>
      </w:r>
    </w:p>
    <w:p w:rsidR="002E0043" w:rsidRPr="00DD3825" w:rsidRDefault="001248A3" w:rsidP="002E0043">
      <w:pPr>
        <w:pStyle w:val="Heading2"/>
      </w:pPr>
      <w:bookmarkStart w:id="80" w:name="_Toc304800206"/>
      <w:bookmarkStart w:id="81" w:name="_Toc324318342"/>
      <w:bookmarkStart w:id="82" w:name="_Toc324340486"/>
      <w:bookmarkStart w:id="83" w:name="_Toc386811719"/>
      <w:r w:rsidRPr="00DD3825">
        <w:lastRenderedPageBreak/>
        <w:t>1.</w:t>
      </w:r>
      <w:r w:rsidR="00FA595F" w:rsidRPr="00DD3825">
        <w:t>4</w:t>
      </w:r>
      <w:r w:rsidR="00793646" w:rsidRPr="00DD3825">
        <w:t>.2</w:t>
      </w:r>
      <w:r w:rsidR="00FA595F" w:rsidRPr="00DD3825">
        <w:t xml:space="preserve"> </w:t>
      </w:r>
      <w:r w:rsidR="00E71EF1" w:rsidRPr="00DD3825">
        <w:t xml:space="preserve">Codes &amp; Standards Requirements </w:t>
      </w:r>
      <w:r w:rsidR="009C5CA7" w:rsidRPr="00DD3825">
        <w:t>Base Case and Measure Information</w:t>
      </w:r>
      <w:bookmarkEnd w:id="80"/>
      <w:bookmarkEnd w:id="81"/>
      <w:bookmarkEnd w:id="82"/>
      <w:bookmarkEnd w:id="83"/>
    </w:p>
    <w:p w:rsidR="00640BB6" w:rsidRPr="00DD3825" w:rsidRDefault="00B76C70" w:rsidP="00AB675E">
      <w:pPr>
        <w:rPr>
          <w:i/>
        </w:rPr>
      </w:pPr>
      <w:r w:rsidRPr="00DD3825">
        <w:t xml:space="preserve">This measure </w:t>
      </w:r>
      <w:r w:rsidR="008639B7" w:rsidRPr="00DD3825">
        <w:t xml:space="preserve">is a retrofit to an existing system, and </w:t>
      </w:r>
      <w:r w:rsidRPr="00DD3825">
        <w:t>is not governed by either state or federal codes and standards</w:t>
      </w:r>
      <w:r w:rsidR="008639B7" w:rsidRPr="00DD3825">
        <w:t xml:space="preserve"> as long as the project does not include other code-triggering activities such as replacement of HVAC systems.</w:t>
      </w:r>
      <w:r w:rsidRPr="00DD3825">
        <w:t xml:space="preserve"> </w:t>
      </w:r>
      <w:r w:rsidR="008639B7" w:rsidRPr="00DD3825">
        <w:t>H</w:t>
      </w:r>
      <w:r w:rsidRPr="00DD3825">
        <w:t>owever</w:t>
      </w:r>
      <w:r w:rsidR="008639B7" w:rsidRPr="00DD3825">
        <w:t>,</w:t>
      </w:r>
      <w:r w:rsidRPr="00DD3825">
        <w:t xml:space="preserve"> Title 24 2013 provides economizer control, general ventilation, and DCV requirements that are considered to be best practice and are provided here for reference. </w:t>
      </w:r>
    </w:p>
    <w:p w:rsidR="00640BB6" w:rsidRPr="00DD3825" w:rsidRDefault="00640BB6" w:rsidP="00EE53FF">
      <w:pPr>
        <w:rPr>
          <w:i/>
        </w:rPr>
      </w:pPr>
    </w:p>
    <w:tbl>
      <w:tblPr>
        <w:tblStyle w:val="PGEWorkPaper"/>
        <w:tblW w:w="0" w:type="auto"/>
        <w:tblLook w:val="00A0" w:firstRow="1" w:lastRow="0" w:firstColumn="1" w:lastColumn="0" w:noHBand="0" w:noVBand="0"/>
      </w:tblPr>
      <w:tblGrid>
        <w:gridCol w:w="1915"/>
        <w:gridCol w:w="1915"/>
        <w:gridCol w:w="1915"/>
        <w:gridCol w:w="1915"/>
        <w:gridCol w:w="1916"/>
      </w:tblGrid>
      <w:tr w:rsidR="00640BB6" w:rsidRPr="00DD3825" w:rsidTr="009074ED">
        <w:trPr>
          <w:cnfStyle w:val="100000000000" w:firstRow="1" w:lastRow="0" w:firstColumn="0" w:lastColumn="0" w:oddVBand="0" w:evenVBand="0" w:oddHBand="0" w:evenHBand="0" w:firstRowFirstColumn="0" w:firstRowLastColumn="0" w:lastRowFirstColumn="0" w:lastRowLastColumn="0"/>
        </w:trPr>
        <w:tc>
          <w:tcPr>
            <w:tcW w:w="1915" w:type="dxa"/>
          </w:tcPr>
          <w:p w:rsidR="00640BB6" w:rsidRPr="00DD3825" w:rsidRDefault="00640BB6" w:rsidP="00EA7AD3">
            <w:pPr>
              <w:rPr>
                <w:color w:val="auto"/>
              </w:rPr>
            </w:pPr>
            <w:r w:rsidRPr="00DD3825">
              <w:rPr>
                <w:color w:val="auto"/>
              </w:rPr>
              <w:t>Title 24 Std.</w:t>
            </w:r>
            <w:r w:rsidR="00437BE1" w:rsidRPr="00DD3825">
              <w:rPr>
                <w:color w:val="auto"/>
              </w:rPr>
              <w:t xml:space="preserve"> </w:t>
            </w:r>
            <w:r w:rsidRPr="00DD3825">
              <w:rPr>
                <w:color w:val="auto"/>
              </w:rPr>
              <w:t>Description</w:t>
            </w:r>
            <w:r w:rsidR="00437BE1" w:rsidRPr="00DD3825">
              <w:rPr>
                <w:color w:val="auto"/>
              </w:rPr>
              <w:t xml:space="preserve"> </w:t>
            </w:r>
          </w:p>
        </w:tc>
        <w:tc>
          <w:tcPr>
            <w:tcW w:w="1915" w:type="dxa"/>
          </w:tcPr>
          <w:p w:rsidR="00640BB6" w:rsidRPr="00DD3825" w:rsidRDefault="00640BB6" w:rsidP="00EA7AD3">
            <w:pPr>
              <w:rPr>
                <w:color w:val="auto"/>
              </w:rPr>
            </w:pPr>
            <w:r w:rsidRPr="00DD3825">
              <w:rPr>
                <w:color w:val="auto"/>
              </w:rPr>
              <w:t>Base or Measure Case</w:t>
            </w:r>
          </w:p>
        </w:tc>
        <w:tc>
          <w:tcPr>
            <w:tcW w:w="1915" w:type="dxa"/>
          </w:tcPr>
          <w:p w:rsidR="00640BB6" w:rsidRPr="00DD3825" w:rsidRDefault="00640BB6" w:rsidP="00EA7AD3">
            <w:pPr>
              <w:rPr>
                <w:b w:val="0"/>
                <w:color w:val="auto"/>
              </w:rPr>
            </w:pPr>
            <w:r w:rsidRPr="00DD3825">
              <w:rPr>
                <w:color w:val="auto"/>
              </w:rPr>
              <w:t>Value</w:t>
            </w:r>
          </w:p>
        </w:tc>
        <w:tc>
          <w:tcPr>
            <w:tcW w:w="1915" w:type="dxa"/>
          </w:tcPr>
          <w:p w:rsidR="00640BB6" w:rsidRPr="00DD3825" w:rsidRDefault="00640BB6" w:rsidP="00EA7AD3">
            <w:pPr>
              <w:rPr>
                <w:color w:val="auto"/>
              </w:rPr>
            </w:pPr>
            <w:r w:rsidRPr="00DD3825">
              <w:rPr>
                <w:color w:val="auto"/>
              </w:rPr>
              <w:t>Units</w:t>
            </w:r>
          </w:p>
        </w:tc>
        <w:tc>
          <w:tcPr>
            <w:tcW w:w="1916" w:type="dxa"/>
          </w:tcPr>
          <w:p w:rsidR="00640BB6" w:rsidRPr="00DD3825" w:rsidRDefault="00640BB6" w:rsidP="00EA7AD3">
            <w:pPr>
              <w:rPr>
                <w:color w:val="auto"/>
              </w:rPr>
            </w:pPr>
            <w:r w:rsidRPr="00DD3825">
              <w:rPr>
                <w:color w:val="auto"/>
              </w:rPr>
              <w:t>Code Source or Reference</w:t>
            </w:r>
          </w:p>
        </w:tc>
      </w:tr>
      <w:tr w:rsidR="00640BB6" w:rsidRPr="00DD3825" w:rsidTr="009074ED">
        <w:trPr>
          <w:cnfStyle w:val="000000100000" w:firstRow="0" w:lastRow="0" w:firstColumn="0" w:lastColumn="0" w:oddVBand="0" w:evenVBand="0" w:oddHBand="1" w:evenHBand="0" w:firstRowFirstColumn="0" w:firstRowLastColumn="0" w:lastRowFirstColumn="0" w:lastRowLastColumn="0"/>
        </w:trPr>
        <w:tc>
          <w:tcPr>
            <w:tcW w:w="1915" w:type="dxa"/>
          </w:tcPr>
          <w:p w:rsidR="00640BB6" w:rsidRPr="00DD3825" w:rsidRDefault="009074ED" w:rsidP="00EA7AD3">
            <w:r w:rsidRPr="00DD3825">
              <w:t>Economizer high limit control</w:t>
            </w:r>
          </w:p>
        </w:tc>
        <w:tc>
          <w:tcPr>
            <w:tcW w:w="1915" w:type="dxa"/>
          </w:tcPr>
          <w:p w:rsidR="00640BB6" w:rsidRPr="00DD3825" w:rsidRDefault="009074ED" w:rsidP="00EA7AD3">
            <w:r w:rsidRPr="00DD3825">
              <w:t>Base Case</w:t>
            </w:r>
          </w:p>
        </w:tc>
        <w:tc>
          <w:tcPr>
            <w:tcW w:w="1915" w:type="dxa"/>
          </w:tcPr>
          <w:p w:rsidR="00640BB6" w:rsidRPr="00DD3825" w:rsidRDefault="009074ED" w:rsidP="00EA7AD3">
            <w:r w:rsidRPr="00DD3825">
              <w:t>High limit shut-off control requirements by device type and climate zone</w:t>
            </w:r>
          </w:p>
        </w:tc>
        <w:tc>
          <w:tcPr>
            <w:tcW w:w="1915" w:type="dxa"/>
          </w:tcPr>
          <w:p w:rsidR="00640BB6" w:rsidRPr="00DD3825" w:rsidRDefault="009074ED" w:rsidP="00EA7AD3">
            <w:r w:rsidRPr="00DD3825">
              <w:t>°F, Btu/lb</w:t>
            </w:r>
          </w:p>
        </w:tc>
        <w:tc>
          <w:tcPr>
            <w:tcW w:w="1916" w:type="dxa"/>
          </w:tcPr>
          <w:p w:rsidR="00640BB6" w:rsidRPr="00DD3825" w:rsidRDefault="009074ED" w:rsidP="00EA7AD3">
            <w:r w:rsidRPr="00DD3825">
              <w:t>Title 24 2013 Table 140.4-B</w:t>
            </w:r>
            <w:r w:rsidR="00EA7AD3" w:rsidRPr="00DD3825">
              <w:fldChar w:fldCharType="begin"/>
            </w:r>
            <w:r w:rsidR="00EA7AD3" w:rsidRPr="00DD3825">
              <w:instrText xml:space="preserve"> NOTEREF _Ref384193100 \f \h  \* MERGEFORMAT </w:instrText>
            </w:r>
            <w:r w:rsidR="00EA7AD3" w:rsidRPr="00DD3825">
              <w:fldChar w:fldCharType="separate"/>
            </w:r>
            <w:r w:rsidR="00B424F3" w:rsidRPr="00B424F3">
              <w:rPr>
                <w:rStyle w:val="EndnoteReference"/>
              </w:rPr>
              <w:t>1</w:t>
            </w:r>
            <w:r w:rsidR="00EA7AD3" w:rsidRPr="00DD3825">
              <w:fldChar w:fldCharType="end"/>
            </w:r>
          </w:p>
        </w:tc>
      </w:tr>
      <w:tr w:rsidR="00640BB6" w:rsidRPr="00DD3825" w:rsidTr="009074ED">
        <w:trPr>
          <w:cnfStyle w:val="000000010000" w:firstRow="0" w:lastRow="0" w:firstColumn="0" w:lastColumn="0" w:oddVBand="0" w:evenVBand="0" w:oddHBand="0" w:evenHBand="1" w:firstRowFirstColumn="0" w:firstRowLastColumn="0" w:lastRowFirstColumn="0" w:lastRowLastColumn="0"/>
        </w:trPr>
        <w:tc>
          <w:tcPr>
            <w:tcW w:w="1915" w:type="dxa"/>
          </w:tcPr>
          <w:p w:rsidR="00640BB6" w:rsidRPr="00DD3825" w:rsidRDefault="009074ED" w:rsidP="00EA7AD3">
            <w:r w:rsidRPr="00DD3825">
              <w:t>Ventilation requirements</w:t>
            </w:r>
          </w:p>
        </w:tc>
        <w:tc>
          <w:tcPr>
            <w:tcW w:w="1915" w:type="dxa"/>
          </w:tcPr>
          <w:p w:rsidR="00640BB6" w:rsidRPr="00DD3825" w:rsidRDefault="009074ED" w:rsidP="00EA7AD3">
            <w:r w:rsidRPr="00DD3825">
              <w:t>Both Base and Measure Case</w:t>
            </w:r>
          </w:p>
        </w:tc>
        <w:tc>
          <w:tcPr>
            <w:tcW w:w="1915" w:type="dxa"/>
          </w:tcPr>
          <w:p w:rsidR="00640BB6" w:rsidRPr="00DD3825" w:rsidRDefault="00EA7AD3" w:rsidP="00EA7AD3">
            <w:r w:rsidRPr="00DD3825">
              <w:t>Minimum ventilation requirements</w:t>
            </w:r>
          </w:p>
        </w:tc>
        <w:tc>
          <w:tcPr>
            <w:tcW w:w="1915" w:type="dxa"/>
          </w:tcPr>
          <w:p w:rsidR="00640BB6" w:rsidRPr="00DD3825" w:rsidRDefault="00EA7AD3" w:rsidP="00EA7AD3">
            <w:r w:rsidRPr="00DD3825">
              <w:t>CFM/Sq. Ft., CFM/Person</w:t>
            </w:r>
          </w:p>
        </w:tc>
        <w:tc>
          <w:tcPr>
            <w:tcW w:w="1916" w:type="dxa"/>
          </w:tcPr>
          <w:p w:rsidR="00640BB6" w:rsidRPr="00DD3825" w:rsidRDefault="00EA7AD3" w:rsidP="00EA7AD3">
            <w:r w:rsidRPr="00DD3825">
              <w:t>Title 24 2013 §120.1</w:t>
            </w:r>
            <w:r w:rsidRPr="00DD3825">
              <w:fldChar w:fldCharType="begin"/>
            </w:r>
            <w:r w:rsidRPr="00DD3825">
              <w:instrText xml:space="preserve"> NOTEREF _Ref384193100 \f \h  \* MERGEFORMAT </w:instrText>
            </w:r>
            <w:r w:rsidRPr="00DD3825">
              <w:fldChar w:fldCharType="separate"/>
            </w:r>
            <w:r w:rsidR="00B424F3" w:rsidRPr="00B424F3">
              <w:rPr>
                <w:rStyle w:val="EndnoteReference"/>
              </w:rPr>
              <w:t>1</w:t>
            </w:r>
            <w:r w:rsidRPr="00DD3825">
              <w:fldChar w:fldCharType="end"/>
            </w:r>
          </w:p>
        </w:tc>
      </w:tr>
      <w:tr w:rsidR="00EA7AD3" w:rsidRPr="00DD3825" w:rsidTr="009074ED">
        <w:trPr>
          <w:cnfStyle w:val="000000100000" w:firstRow="0" w:lastRow="0" w:firstColumn="0" w:lastColumn="0" w:oddVBand="0" w:evenVBand="0" w:oddHBand="1" w:evenHBand="0" w:firstRowFirstColumn="0" w:firstRowLastColumn="0" w:lastRowFirstColumn="0" w:lastRowLastColumn="0"/>
        </w:trPr>
        <w:tc>
          <w:tcPr>
            <w:tcW w:w="1915" w:type="dxa"/>
          </w:tcPr>
          <w:p w:rsidR="00EA7AD3" w:rsidRPr="00DD3825" w:rsidRDefault="00EA7AD3" w:rsidP="00EA7AD3">
            <w:r w:rsidRPr="00DD3825">
              <w:t>DCV requirements</w:t>
            </w:r>
          </w:p>
        </w:tc>
        <w:tc>
          <w:tcPr>
            <w:tcW w:w="1915" w:type="dxa"/>
          </w:tcPr>
          <w:p w:rsidR="00EA7AD3" w:rsidRPr="00DD3825" w:rsidRDefault="00EA7AD3" w:rsidP="00EA7AD3">
            <w:r w:rsidRPr="00DD3825">
              <w:t>Measure Case</w:t>
            </w:r>
          </w:p>
        </w:tc>
        <w:tc>
          <w:tcPr>
            <w:tcW w:w="1915" w:type="dxa"/>
          </w:tcPr>
          <w:p w:rsidR="00EA7AD3" w:rsidRPr="00DD3825" w:rsidRDefault="00EA7AD3" w:rsidP="00EA7AD3">
            <w:r w:rsidRPr="00DD3825">
              <w:t>DCV ventilation and sensor requirements</w:t>
            </w:r>
          </w:p>
        </w:tc>
        <w:tc>
          <w:tcPr>
            <w:tcW w:w="1915" w:type="dxa"/>
          </w:tcPr>
          <w:p w:rsidR="00EA7AD3" w:rsidRPr="00DD3825" w:rsidRDefault="00C6186E" w:rsidP="00EA7AD3">
            <w:r w:rsidRPr="00DD3825">
              <w:t>PPM, Sq. Ft.</w:t>
            </w:r>
          </w:p>
        </w:tc>
        <w:tc>
          <w:tcPr>
            <w:tcW w:w="1916" w:type="dxa"/>
          </w:tcPr>
          <w:p w:rsidR="00EA7AD3" w:rsidRPr="00DD3825" w:rsidRDefault="00EA7AD3" w:rsidP="00EA7AD3">
            <w:r w:rsidRPr="00DD3825">
              <w:t>§120.1</w:t>
            </w:r>
            <w:r w:rsidR="0030207D" w:rsidRPr="00DD3825">
              <w:t>(c)3 and 4</w:t>
            </w:r>
            <w:r w:rsidRPr="00DD3825">
              <w:fldChar w:fldCharType="begin"/>
            </w:r>
            <w:r w:rsidRPr="00DD3825">
              <w:instrText xml:space="preserve"> NOTEREF _Ref384193100 \f \h  \* MERGEFORMAT </w:instrText>
            </w:r>
            <w:r w:rsidRPr="00DD3825">
              <w:fldChar w:fldCharType="separate"/>
            </w:r>
            <w:r w:rsidR="00B424F3" w:rsidRPr="00B424F3">
              <w:rPr>
                <w:rStyle w:val="EndnoteReference"/>
              </w:rPr>
              <w:t>1</w:t>
            </w:r>
            <w:r w:rsidRPr="00DD3825">
              <w:fldChar w:fldCharType="end"/>
            </w:r>
          </w:p>
        </w:tc>
      </w:tr>
    </w:tbl>
    <w:p w:rsidR="00FA595F" w:rsidRPr="00DD3825" w:rsidRDefault="00FA595F" w:rsidP="00FA595F"/>
    <w:p w:rsidR="002E0043" w:rsidRPr="00DD3825" w:rsidRDefault="001248A3" w:rsidP="002E0043">
      <w:pPr>
        <w:pStyle w:val="Heading2"/>
        <w:keepNext w:val="0"/>
      </w:pPr>
      <w:bookmarkStart w:id="84" w:name="_Toc304800207"/>
      <w:bookmarkStart w:id="85" w:name="_Toc324318343"/>
      <w:bookmarkStart w:id="86" w:name="_Toc324340487"/>
      <w:bookmarkStart w:id="87" w:name="_Toc386811720"/>
      <w:r w:rsidRPr="00DD3825">
        <w:t>1.4</w:t>
      </w:r>
      <w:r w:rsidR="00264B03" w:rsidRPr="00DD3825">
        <w:t>.3</w:t>
      </w:r>
      <w:r w:rsidR="00A02F0A" w:rsidRPr="00DD3825">
        <w:t xml:space="preserve"> </w:t>
      </w:r>
      <w:r w:rsidR="00C069A2" w:rsidRPr="00DD3825">
        <w:t>EM&amp;V</w:t>
      </w:r>
      <w:r w:rsidR="00755961" w:rsidRPr="00DD3825">
        <w:t>, Market Potential,</w:t>
      </w:r>
      <w:r w:rsidR="00C069A2" w:rsidRPr="00DD3825">
        <w:t xml:space="preserve"> </w:t>
      </w:r>
      <w:r w:rsidR="0044337C" w:rsidRPr="00DD3825">
        <w:t xml:space="preserve">and Other </w:t>
      </w:r>
      <w:r w:rsidR="00C069A2" w:rsidRPr="00DD3825">
        <w:t>Studies</w:t>
      </w:r>
      <w:r w:rsidR="009C5CA7" w:rsidRPr="00DD3825">
        <w:t xml:space="preserve"> – Base Case and Measure Case Information</w:t>
      </w:r>
      <w:bookmarkEnd w:id="84"/>
      <w:bookmarkEnd w:id="85"/>
      <w:bookmarkEnd w:id="86"/>
      <w:bookmarkEnd w:id="87"/>
    </w:p>
    <w:p w:rsidR="00432C65" w:rsidRPr="00DD3825" w:rsidRDefault="00322AF1" w:rsidP="00AB675E">
      <w:r w:rsidRPr="00DD3825">
        <w:t>Data currently being finalized in Work Order 32 EM&amp;V</w:t>
      </w:r>
      <w:r w:rsidR="00C6186E" w:rsidRPr="00DD3825">
        <w:rPr>
          <w:rStyle w:val="EndnoteReference"/>
        </w:rPr>
        <w:endnoteReference w:id="9"/>
      </w:r>
      <w:r w:rsidRPr="00DD3825">
        <w:t xml:space="preserve"> research of HVAC programs informed assumptions for economizer minimum and maximum outside air rate assumptions discussed in 1.4.1.</w:t>
      </w:r>
      <w:r w:rsidR="00437BE1" w:rsidRPr="00DD3825">
        <w:t xml:space="preserve"> </w:t>
      </w:r>
    </w:p>
    <w:p w:rsidR="009C5CA7" w:rsidRPr="00DD3825" w:rsidRDefault="001248A3" w:rsidP="002E0043">
      <w:pPr>
        <w:pStyle w:val="Heading2"/>
        <w:keepNext w:val="0"/>
      </w:pPr>
      <w:bookmarkStart w:id="88" w:name="_Toc304800208"/>
      <w:bookmarkStart w:id="89" w:name="_Toc324318344"/>
      <w:bookmarkStart w:id="90" w:name="_Toc324340488"/>
      <w:bookmarkStart w:id="91" w:name="_Toc386811721"/>
      <w:r w:rsidRPr="00DD3825">
        <w:t>1.</w:t>
      </w:r>
      <w:r w:rsidR="00264B03" w:rsidRPr="00DD3825">
        <w:t xml:space="preserve">4.4 </w:t>
      </w:r>
      <w:r w:rsidR="009C5CA7" w:rsidRPr="00DD3825">
        <w:t xml:space="preserve">Assumptions and </w:t>
      </w:r>
      <w:r w:rsidR="00264B03" w:rsidRPr="00DD3825">
        <w:t>Calculations from other sources—Base and Measure Cases</w:t>
      </w:r>
      <w:bookmarkEnd w:id="88"/>
      <w:bookmarkEnd w:id="89"/>
      <w:bookmarkEnd w:id="90"/>
      <w:bookmarkEnd w:id="91"/>
    </w:p>
    <w:p w:rsidR="00A172E6" w:rsidRPr="00DD3825" w:rsidRDefault="00A172E6" w:rsidP="00AB675E">
      <w:r w:rsidRPr="00DD3825">
        <w:t>There are no further data or calculations provided for the support of the measures in this workpaper.</w:t>
      </w:r>
    </w:p>
    <w:p w:rsidR="00A172E6" w:rsidRPr="00DD3825" w:rsidRDefault="00A172E6" w:rsidP="00A172E6">
      <w:pPr>
        <w:rPr>
          <w:rFonts w:cs="Arial"/>
          <w:sz w:val="20"/>
          <w:szCs w:val="20"/>
        </w:rPr>
      </w:pPr>
    </w:p>
    <w:p w:rsidR="001C2942" w:rsidRPr="00DD3825" w:rsidRDefault="001C2942" w:rsidP="00063FA7">
      <w:pPr>
        <w:rPr>
          <w:rFonts w:cs="Arial"/>
          <w:b/>
          <w:i/>
          <w:sz w:val="28"/>
          <w:szCs w:val="28"/>
        </w:rPr>
      </w:pPr>
      <w:r w:rsidRPr="00DD3825">
        <w:rPr>
          <w:rFonts w:cs="Arial"/>
          <w:b/>
          <w:i/>
          <w:sz w:val="28"/>
          <w:szCs w:val="28"/>
        </w:rPr>
        <w:t>1.</w:t>
      </w:r>
      <w:r w:rsidR="00063FA7" w:rsidRPr="00DD3825">
        <w:rPr>
          <w:rFonts w:cs="Arial"/>
          <w:b/>
          <w:i/>
          <w:sz w:val="28"/>
          <w:szCs w:val="28"/>
        </w:rPr>
        <w:t>4.5</w:t>
      </w:r>
      <w:r w:rsidR="001178BE" w:rsidRPr="00DD3825">
        <w:rPr>
          <w:rFonts w:cs="Arial"/>
          <w:b/>
          <w:i/>
          <w:sz w:val="28"/>
          <w:szCs w:val="28"/>
        </w:rPr>
        <w:t xml:space="preserve"> </w:t>
      </w:r>
      <w:r w:rsidRPr="00DD3825">
        <w:rPr>
          <w:rFonts w:cs="Arial"/>
          <w:b/>
          <w:i/>
          <w:sz w:val="28"/>
          <w:szCs w:val="28"/>
        </w:rPr>
        <w:t>Time-of-Use Adjustment Factor</w:t>
      </w:r>
    </w:p>
    <w:p w:rsidR="00600C82" w:rsidRPr="00DD3825" w:rsidRDefault="00600C82" w:rsidP="00600C82">
      <w:r w:rsidRPr="00DD3825">
        <w:t>CPUC decision 06-06-063 dated June 29, 2006 requires time-of-use (TOU) adjustment factors on residential A/C and commercial A/C (packaged and split-system direct-expansion cooling) measures only. Additionally, if a measure is assigned a DEER08 load shape, i.e. the load shape starts with “DEER:” the TOU assigned to that measure should also be zero. Since these measures are assigned a DEER08 load shape, the TOU assigned to the measures is zero as shown in Table 4 below.</w:t>
      </w:r>
    </w:p>
    <w:p w:rsidR="00600C82" w:rsidRPr="00DD3825" w:rsidRDefault="00600C82" w:rsidP="00D51B97">
      <w:pPr>
        <w:pStyle w:val="Caption"/>
        <w:keepNext/>
        <w:jc w:val="center"/>
      </w:pPr>
      <w:bookmarkStart w:id="92" w:name="_Toc327883661"/>
      <w:bookmarkStart w:id="93" w:name="_Toc386811750"/>
      <w:r w:rsidRPr="00DD3825">
        <w:lastRenderedPageBreak/>
        <w:t xml:space="preserve">Table </w:t>
      </w:r>
      <w:r w:rsidR="00FF41C5">
        <w:fldChar w:fldCharType="begin"/>
      </w:r>
      <w:r w:rsidR="00FF41C5">
        <w:instrText xml:space="preserve"> SEQ Table \* ARABIC </w:instrText>
      </w:r>
      <w:r w:rsidR="00FF41C5">
        <w:fldChar w:fldCharType="separate"/>
      </w:r>
      <w:r w:rsidR="00B424F3">
        <w:rPr>
          <w:noProof/>
        </w:rPr>
        <w:t>10</w:t>
      </w:r>
      <w:r w:rsidR="00FF41C5">
        <w:rPr>
          <w:noProof/>
        </w:rPr>
        <w:fldChar w:fldCharType="end"/>
      </w:r>
      <w:r w:rsidRPr="00DD3825">
        <w:t xml:space="preserve">  TOU Adjustment Factors</w:t>
      </w:r>
      <w:bookmarkEnd w:id="92"/>
      <w:bookmarkEnd w:id="93"/>
    </w:p>
    <w:tbl>
      <w:tblPr>
        <w:tblW w:w="4944" w:type="pct"/>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9"/>
        <w:gridCol w:w="1348"/>
        <w:gridCol w:w="2566"/>
        <w:gridCol w:w="2566"/>
      </w:tblGrid>
      <w:tr w:rsidR="00600C82" w:rsidRPr="00DD3825" w:rsidTr="001F40FA">
        <w:tc>
          <w:tcPr>
            <w:tcW w:w="1578" w:type="pct"/>
            <w:shd w:val="clear" w:color="auto" w:fill="CCCCCC"/>
          </w:tcPr>
          <w:p w:rsidR="00600C82" w:rsidRPr="00DD3825" w:rsidRDefault="00600C82" w:rsidP="001F40FA">
            <w:pPr>
              <w:pStyle w:val="Tabletext"/>
              <w:keepNext/>
            </w:pPr>
            <w:r w:rsidRPr="00DD3825">
              <w:t>Measure</w:t>
            </w:r>
          </w:p>
        </w:tc>
        <w:tc>
          <w:tcPr>
            <w:tcW w:w="712" w:type="pct"/>
            <w:shd w:val="clear" w:color="auto" w:fill="CCCCCC"/>
          </w:tcPr>
          <w:p w:rsidR="00600C82" w:rsidRPr="00DD3825" w:rsidRDefault="00600C82" w:rsidP="001F40FA">
            <w:pPr>
              <w:pStyle w:val="Tabletext"/>
              <w:keepNext/>
            </w:pPr>
            <w:r w:rsidRPr="00DD3825">
              <w:t>kW</w:t>
            </w:r>
            <w:r w:rsidRPr="00DD3825">
              <w:rPr>
                <w:vertAlign w:val="subscript"/>
              </w:rPr>
              <w:t>AC</w:t>
            </w:r>
          </w:p>
        </w:tc>
        <w:tc>
          <w:tcPr>
            <w:tcW w:w="1355" w:type="pct"/>
            <w:shd w:val="clear" w:color="auto" w:fill="CCCCCC"/>
          </w:tcPr>
          <w:p w:rsidR="00600C82" w:rsidRPr="00DD3825" w:rsidRDefault="00600C82" w:rsidP="001F40FA">
            <w:pPr>
              <w:pStyle w:val="Tabletext"/>
              <w:keepNext/>
            </w:pPr>
            <w:r w:rsidRPr="00DD3825">
              <w:t>kW</w:t>
            </w:r>
            <w:r w:rsidRPr="00DD3825">
              <w:rPr>
                <w:vertAlign w:val="subscript"/>
              </w:rPr>
              <w:t>Total</w:t>
            </w:r>
          </w:p>
        </w:tc>
        <w:tc>
          <w:tcPr>
            <w:tcW w:w="1355" w:type="pct"/>
            <w:shd w:val="clear" w:color="auto" w:fill="CCCCCC"/>
          </w:tcPr>
          <w:p w:rsidR="00600C82" w:rsidRPr="00DD3825" w:rsidRDefault="00600C82" w:rsidP="001F40FA">
            <w:pPr>
              <w:pStyle w:val="Tabletext"/>
              <w:keepNext/>
            </w:pPr>
            <w:r w:rsidRPr="00DD3825">
              <w:t>%</w:t>
            </w:r>
          </w:p>
        </w:tc>
      </w:tr>
      <w:tr w:rsidR="00600C82" w:rsidRPr="00DD3825" w:rsidTr="000861D8">
        <w:tc>
          <w:tcPr>
            <w:tcW w:w="1578" w:type="pct"/>
            <w:shd w:val="clear" w:color="auto" w:fill="F3F3F3"/>
            <w:vAlign w:val="bottom"/>
          </w:tcPr>
          <w:p w:rsidR="00600C82" w:rsidRPr="00DD3825" w:rsidRDefault="00600C82" w:rsidP="001F40FA">
            <w:pPr>
              <w:pStyle w:val="Tabletext"/>
              <w:keepNext/>
            </w:pPr>
            <w:r w:rsidRPr="00DD3825">
              <w:t>Add ADEC and CO2 Sensor to AC unit with Gas Heat</w:t>
            </w:r>
          </w:p>
        </w:tc>
        <w:tc>
          <w:tcPr>
            <w:tcW w:w="712" w:type="pct"/>
            <w:shd w:val="clear" w:color="auto" w:fill="F3F3F3"/>
            <w:vAlign w:val="center"/>
          </w:tcPr>
          <w:p w:rsidR="00600C82" w:rsidRPr="00DD3825" w:rsidRDefault="00600C82" w:rsidP="001F40FA">
            <w:pPr>
              <w:pStyle w:val="Tabletext"/>
              <w:keepNext/>
            </w:pPr>
            <w:r w:rsidRPr="00DD3825">
              <w:t>0</w:t>
            </w:r>
          </w:p>
        </w:tc>
        <w:tc>
          <w:tcPr>
            <w:tcW w:w="1355" w:type="pct"/>
            <w:shd w:val="clear" w:color="auto" w:fill="F3F3F3"/>
            <w:vAlign w:val="center"/>
          </w:tcPr>
          <w:p w:rsidR="00600C82" w:rsidRPr="00DD3825" w:rsidRDefault="00600C82" w:rsidP="001F40FA">
            <w:pPr>
              <w:pStyle w:val="Tabletext"/>
              <w:keepNext/>
            </w:pPr>
            <w:r w:rsidRPr="00DD3825">
              <w:t>0</w:t>
            </w:r>
          </w:p>
        </w:tc>
        <w:tc>
          <w:tcPr>
            <w:tcW w:w="1355" w:type="pct"/>
            <w:shd w:val="clear" w:color="auto" w:fill="F3F3F3"/>
            <w:vAlign w:val="center"/>
          </w:tcPr>
          <w:p w:rsidR="00600C82" w:rsidRPr="00DD3825" w:rsidRDefault="00600C82" w:rsidP="001F40FA">
            <w:pPr>
              <w:pStyle w:val="Tabletext"/>
              <w:keepNext/>
            </w:pPr>
            <w:r w:rsidRPr="00DD3825">
              <w:t>0</w:t>
            </w:r>
          </w:p>
        </w:tc>
      </w:tr>
      <w:tr w:rsidR="00600C82" w:rsidRPr="00DD3825" w:rsidTr="000861D8">
        <w:tc>
          <w:tcPr>
            <w:tcW w:w="1578" w:type="pct"/>
            <w:shd w:val="clear" w:color="auto" w:fill="F3F3F3"/>
            <w:vAlign w:val="bottom"/>
          </w:tcPr>
          <w:p w:rsidR="00600C82" w:rsidRPr="00DD3825" w:rsidRDefault="00600C82" w:rsidP="001F40FA">
            <w:pPr>
              <w:pStyle w:val="Tabletext"/>
              <w:keepNext/>
            </w:pPr>
            <w:r w:rsidRPr="00DD3825">
              <w:t>Add CO2 Sensor to AC unit with Gas Heat with ADEC</w:t>
            </w:r>
          </w:p>
        </w:tc>
        <w:tc>
          <w:tcPr>
            <w:tcW w:w="712" w:type="pct"/>
            <w:shd w:val="clear" w:color="auto" w:fill="F3F3F3"/>
            <w:vAlign w:val="center"/>
          </w:tcPr>
          <w:p w:rsidR="00600C82" w:rsidRPr="00DD3825" w:rsidRDefault="00600C82" w:rsidP="001F40FA">
            <w:pPr>
              <w:pStyle w:val="Tabletext"/>
              <w:keepNext/>
            </w:pPr>
            <w:r w:rsidRPr="00DD3825">
              <w:t>0</w:t>
            </w:r>
          </w:p>
        </w:tc>
        <w:tc>
          <w:tcPr>
            <w:tcW w:w="1355" w:type="pct"/>
            <w:shd w:val="clear" w:color="auto" w:fill="F3F3F3"/>
            <w:vAlign w:val="center"/>
          </w:tcPr>
          <w:p w:rsidR="00600C82" w:rsidRPr="00DD3825" w:rsidRDefault="00600C82" w:rsidP="001F40FA">
            <w:pPr>
              <w:pStyle w:val="Tabletext"/>
              <w:keepNext/>
            </w:pPr>
            <w:r w:rsidRPr="00DD3825">
              <w:t>0</w:t>
            </w:r>
          </w:p>
        </w:tc>
        <w:tc>
          <w:tcPr>
            <w:tcW w:w="1355" w:type="pct"/>
            <w:shd w:val="clear" w:color="auto" w:fill="F3F3F3"/>
            <w:vAlign w:val="center"/>
          </w:tcPr>
          <w:p w:rsidR="00600C82" w:rsidRPr="00DD3825" w:rsidRDefault="00600C82" w:rsidP="001F40FA">
            <w:pPr>
              <w:pStyle w:val="Tabletext"/>
              <w:keepNext/>
            </w:pPr>
            <w:r w:rsidRPr="00DD3825">
              <w:t>0</w:t>
            </w:r>
          </w:p>
        </w:tc>
      </w:tr>
      <w:tr w:rsidR="00600C82" w:rsidRPr="00DD3825" w:rsidTr="000861D8">
        <w:tc>
          <w:tcPr>
            <w:tcW w:w="1578" w:type="pct"/>
            <w:shd w:val="clear" w:color="auto" w:fill="F3F3F3"/>
            <w:vAlign w:val="bottom"/>
          </w:tcPr>
          <w:p w:rsidR="00600C82" w:rsidRPr="00DD3825" w:rsidRDefault="00600C82" w:rsidP="001F40FA">
            <w:pPr>
              <w:pStyle w:val="Tabletext"/>
              <w:keepNext/>
            </w:pPr>
            <w:r w:rsidRPr="00DD3825">
              <w:t>Add ADEC and CO2 Sensor to AC only unit</w:t>
            </w:r>
          </w:p>
        </w:tc>
        <w:tc>
          <w:tcPr>
            <w:tcW w:w="712" w:type="pct"/>
            <w:shd w:val="clear" w:color="auto" w:fill="F3F3F3"/>
            <w:vAlign w:val="center"/>
          </w:tcPr>
          <w:p w:rsidR="00600C82" w:rsidRPr="00DD3825" w:rsidRDefault="00600C82" w:rsidP="001F40FA">
            <w:pPr>
              <w:pStyle w:val="Tabletext"/>
              <w:keepNext/>
            </w:pPr>
            <w:r w:rsidRPr="00DD3825">
              <w:t>0</w:t>
            </w:r>
          </w:p>
        </w:tc>
        <w:tc>
          <w:tcPr>
            <w:tcW w:w="1355" w:type="pct"/>
            <w:shd w:val="clear" w:color="auto" w:fill="F3F3F3"/>
            <w:vAlign w:val="center"/>
          </w:tcPr>
          <w:p w:rsidR="00600C82" w:rsidRPr="00DD3825" w:rsidRDefault="00600C82" w:rsidP="001F40FA">
            <w:pPr>
              <w:pStyle w:val="Tabletext"/>
              <w:keepNext/>
            </w:pPr>
            <w:r w:rsidRPr="00DD3825">
              <w:t>0</w:t>
            </w:r>
          </w:p>
        </w:tc>
        <w:tc>
          <w:tcPr>
            <w:tcW w:w="1355" w:type="pct"/>
            <w:shd w:val="clear" w:color="auto" w:fill="F3F3F3"/>
            <w:vAlign w:val="center"/>
          </w:tcPr>
          <w:p w:rsidR="00600C82" w:rsidRPr="00DD3825" w:rsidRDefault="00600C82" w:rsidP="001F40FA">
            <w:pPr>
              <w:pStyle w:val="Tabletext"/>
              <w:keepNext/>
            </w:pPr>
            <w:r w:rsidRPr="00DD3825">
              <w:t>0</w:t>
            </w:r>
          </w:p>
        </w:tc>
      </w:tr>
      <w:tr w:rsidR="00600C82" w:rsidRPr="00DD3825" w:rsidTr="000861D8">
        <w:tc>
          <w:tcPr>
            <w:tcW w:w="1578" w:type="pct"/>
            <w:shd w:val="clear" w:color="auto" w:fill="F3F3F3"/>
            <w:vAlign w:val="bottom"/>
          </w:tcPr>
          <w:p w:rsidR="00600C82" w:rsidRPr="00DD3825" w:rsidRDefault="00600C82" w:rsidP="001F40FA">
            <w:pPr>
              <w:pStyle w:val="Tabletext"/>
              <w:keepNext/>
            </w:pPr>
            <w:r w:rsidRPr="00DD3825">
              <w:t>Add CO2 Sensor to AC only unit with ADEC</w:t>
            </w:r>
          </w:p>
        </w:tc>
        <w:tc>
          <w:tcPr>
            <w:tcW w:w="712" w:type="pct"/>
            <w:shd w:val="clear" w:color="auto" w:fill="F3F3F3"/>
            <w:vAlign w:val="center"/>
          </w:tcPr>
          <w:p w:rsidR="00600C82" w:rsidRPr="00DD3825" w:rsidRDefault="00600C82" w:rsidP="001F40FA">
            <w:pPr>
              <w:pStyle w:val="Tabletext"/>
              <w:keepNext/>
            </w:pPr>
            <w:r w:rsidRPr="00DD3825">
              <w:t>0</w:t>
            </w:r>
          </w:p>
        </w:tc>
        <w:tc>
          <w:tcPr>
            <w:tcW w:w="1355" w:type="pct"/>
            <w:shd w:val="clear" w:color="auto" w:fill="F3F3F3"/>
            <w:vAlign w:val="center"/>
          </w:tcPr>
          <w:p w:rsidR="00600C82" w:rsidRPr="00DD3825" w:rsidRDefault="00600C82" w:rsidP="001F40FA">
            <w:pPr>
              <w:pStyle w:val="Tabletext"/>
              <w:keepNext/>
            </w:pPr>
            <w:r w:rsidRPr="00DD3825">
              <w:t>0</w:t>
            </w:r>
          </w:p>
        </w:tc>
        <w:tc>
          <w:tcPr>
            <w:tcW w:w="1355" w:type="pct"/>
            <w:shd w:val="clear" w:color="auto" w:fill="F3F3F3"/>
            <w:vAlign w:val="center"/>
          </w:tcPr>
          <w:p w:rsidR="00600C82" w:rsidRPr="00DD3825" w:rsidRDefault="00600C82" w:rsidP="001F40FA">
            <w:pPr>
              <w:pStyle w:val="Tabletext"/>
              <w:keepNext/>
            </w:pPr>
            <w:r w:rsidRPr="00DD3825">
              <w:t>0</w:t>
            </w:r>
          </w:p>
        </w:tc>
      </w:tr>
      <w:tr w:rsidR="00600C82" w:rsidRPr="00DD3825" w:rsidTr="000861D8">
        <w:tc>
          <w:tcPr>
            <w:tcW w:w="1578" w:type="pct"/>
            <w:shd w:val="clear" w:color="auto" w:fill="F3F3F3"/>
            <w:vAlign w:val="bottom"/>
          </w:tcPr>
          <w:p w:rsidR="00600C82" w:rsidRPr="00DD3825" w:rsidRDefault="00600C82" w:rsidP="001F40FA">
            <w:pPr>
              <w:pStyle w:val="Tabletext"/>
              <w:keepNext/>
            </w:pPr>
            <w:r w:rsidRPr="00DD3825">
              <w:t>Add ADEC and CO2 Sensor to HP</w:t>
            </w:r>
          </w:p>
        </w:tc>
        <w:tc>
          <w:tcPr>
            <w:tcW w:w="712" w:type="pct"/>
            <w:shd w:val="clear" w:color="auto" w:fill="F3F3F3"/>
            <w:vAlign w:val="center"/>
          </w:tcPr>
          <w:p w:rsidR="00600C82" w:rsidRPr="00DD3825" w:rsidRDefault="00600C82" w:rsidP="001F40FA">
            <w:pPr>
              <w:pStyle w:val="Tabletext"/>
              <w:keepNext/>
            </w:pPr>
            <w:r w:rsidRPr="00DD3825">
              <w:t>0</w:t>
            </w:r>
          </w:p>
        </w:tc>
        <w:tc>
          <w:tcPr>
            <w:tcW w:w="1355" w:type="pct"/>
            <w:shd w:val="clear" w:color="auto" w:fill="F3F3F3"/>
            <w:vAlign w:val="center"/>
          </w:tcPr>
          <w:p w:rsidR="00600C82" w:rsidRPr="00DD3825" w:rsidRDefault="00600C82" w:rsidP="001F40FA">
            <w:pPr>
              <w:pStyle w:val="Tabletext"/>
              <w:keepNext/>
            </w:pPr>
            <w:r w:rsidRPr="00DD3825">
              <w:t>0</w:t>
            </w:r>
          </w:p>
        </w:tc>
        <w:tc>
          <w:tcPr>
            <w:tcW w:w="1355" w:type="pct"/>
            <w:shd w:val="clear" w:color="auto" w:fill="F3F3F3"/>
            <w:vAlign w:val="center"/>
          </w:tcPr>
          <w:p w:rsidR="00600C82" w:rsidRPr="00DD3825" w:rsidRDefault="00600C82" w:rsidP="001F40FA">
            <w:pPr>
              <w:pStyle w:val="Tabletext"/>
              <w:keepNext/>
            </w:pPr>
            <w:r w:rsidRPr="00DD3825">
              <w:t>0</w:t>
            </w:r>
          </w:p>
        </w:tc>
      </w:tr>
      <w:tr w:rsidR="00600C82" w:rsidRPr="00DD3825" w:rsidTr="000861D8">
        <w:tc>
          <w:tcPr>
            <w:tcW w:w="1578" w:type="pct"/>
            <w:shd w:val="clear" w:color="auto" w:fill="F3F3F3"/>
            <w:vAlign w:val="bottom"/>
          </w:tcPr>
          <w:p w:rsidR="00600C82" w:rsidRPr="00DD3825" w:rsidRDefault="00600C82" w:rsidP="001F40FA">
            <w:pPr>
              <w:pStyle w:val="Tabletext"/>
            </w:pPr>
            <w:r w:rsidRPr="00DD3825">
              <w:t>Add CO2 Sensor to HP with ADEC</w:t>
            </w:r>
          </w:p>
        </w:tc>
        <w:tc>
          <w:tcPr>
            <w:tcW w:w="712" w:type="pct"/>
            <w:shd w:val="clear" w:color="auto" w:fill="F3F3F3"/>
            <w:vAlign w:val="center"/>
          </w:tcPr>
          <w:p w:rsidR="00600C82" w:rsidRPr="00DD3825" w:rsidRDefault="00600C82" w:rsidP="001F40FA">
            <w:pPr>
              <w:pStyle w:val="Tabletext"/>
            </w:pPr>
            <w:r w:rsidRPr="00DD3825">
              <w:t>0</w:t>
            </w:r>
          </w:p>
        </w:tc>
        <w:tc>
          <w:tcPr>
            <w:tcW w:w="1355" w:type="pct"/>
            <w:shd w:val="clear" w:color="auto" w:fill="F3F3F3"/>
            <w:vAlign w:val="center"/>
          </w:tcPr>
          <w:p w:rsidR="00600C82" w:rsidRPr="00DD3825" w:rsidRDefault="00600C82" w:rsidP="001F40FA">
            <w:pPr>
              <w:pStyle w:val="Tabletext"/>
            </w:pPr>
            <w:r w:rsidRPr="00DD3825">
              <w:t>0</w:t>
            </w:r>
          </w:p>
        </w:tc>
        <w:tc>
          <w:tcPr>
            <w:tcW w:w="1355" w:type="pct"/>
            <w:shd w:val="clear" w:color="auto" w:fill="F3F3F3"/>
            <w:vAlign w:val="center"/>
          </w:tcPr>
          <w:p w:rsidR="00600C82" w:rsidRPr="00DD3825" w:rsidRDefault="00600C82" w:rsidP="001F40FA">
            <w:pPr>
              <w:pStyle w:val="Tabletext"/>
            </w:pPr>
            <w:r w:rsidRPr="00DD3825">
              <w:t>0</w:t>
            </w:r>
          </w:p>
        </w:tc>
      </w:tr>
    </w:tbl>
    <w:p w:rsidR="001C2942" w:rsidRPr="00DD3825" w:rsidRDefault="001C2942" w:rsidP="00A02F0A"/>
    <w:p w:rsidR="00C069A2" w:rsidRPr="00DD3825" w:rsidRDefault="001248A3" w:rsidP="001178BE">
      <w:pPr>
        <w:keepNext/>
        <w:rPr>
          <w:rFonts w:cs="Arial"/>
          <w:b/>
          <w:i/>
          <w:sz w:val="28"/>
          <w:szCs w:val="28"/>
        </w:rPr>
      </w:pPr>
      <w:bookmarkStart w:id="94" w:name="_Toc304800209"/>
      <w:r w:rsidRPr="00DD3825">
        <w:rPr>
          <w:rFonts w:cs="Arial"/>
          <w:b/>
          <w:i/>
          <w:sz w:val="28"/>
          <w:szCs w:val="28"/>
        </w:rPr>
        <w:t>1.</w:t>
      </w:r>
      <w:r w:rsidR="00264B03" w:rsidRPr="00DD3825">
        <w:rPr>
          <w:rFonts w:cs="Arial"/>
          <w:b/>
          <w:i/>
          <w:sz w:val="28"/>
          <w:szCs w:val="28"/>
        </w:rPr>
        <w:t>5</w:t>
      </w:r>
      <w:r w:rsidRPr="00DD3825">
        <w:rPr>
          <w:rFonts w:cs="Arial"/>
          <w:b/>
          <w:i/>
          <w:sz w:val="28"/>
          <w:szCs w:val="28"/>
        </w:rPr>
        <w:t xml:space="preserve"> </w:t>
      </w:r>
      <w:r w:rsidR="00FA595F" w:rsidRPr="00DD3825">
        <w:rPr>
          <w:rFonts w:cs="Arial"/>
          <w:b/>
          <w:i/>
          <w:sz w:val="28"/>
          <w:szCs w:val="28"/>
        </w:rPr>
        <w:t>Summary of Inputs for Savings Calculations</w:t>
      </w:r>
      <w:bookmarkEnd w:id="94"/>
      <w:r w:rsidR="00814500" w:rsidRPr="00DD3825">
        <w:rPr>
          <w:rFonts w:cs="Arial"/>
          <w:b/>
          <w:i/>
          <w:sz w:val="28"/>
          <w:szCs w:val="28"/>
        </w:rPr>
        <w:t xml:space="preserve"> </w:t>
      </w:r>
    </w:p>
    <w:p w:rsidR="00755961" w:rsidRDefault="004967A2" w:rsidP="00AB675E">
      <w:r w:rsidRPr="00DD3825">
        <w:t xml:space="preserve">The following </w:t>
      </w:r>
      <w:r w:rsidR="001178BE" w:rsidRPr="00DD3825">
        <w:t xml:space="preserve">table provides references to </w:t>
      </w:r>
      <w:r w:rsidRPr="00DD3825">
        <w:t xml:space="preserve">sections </w:t>
      </w:r>
      <w:r w:rsidR="001178BE" w:rsidRPr="00DD3825">
        <w:t>that document</w:t>
      </w:r>
      <w:r w:rsidRPr="00DD3825">
        <w:t xml:space="preserve"> the inputs for calculation:</w:t>
      </w:r>
    </w:p>
    <w:p w:rsidR="00D51B97" w:rsidRPr="00DD3825" w:rsidRDefault="00D51B97" w:rsidP="00AB675E"/>
    <w:p w:rsidR="00D51B97" w:rsidRPr="00DD3825" w:rsidRDefault="00D51B97" w:rsidP="00D51B97">
      <w:pPr>
        <w:pStyle w:val="Caption"/>
        <w:jc w:val="center"/>
        <w:rPr>
          <w:rFonts w:cs="Arial"/>
          <w:b w:val="0"/>
          <w:sz w:val="22"/>
          <w:szCs w:val="22"/>
        </w:rPr>
      </w:pPr>
      <w:bookmarkStart w:id="95" w:name="_Toc386811751"/>
      <w:r w:rsidRPr="00DD3825">
        <w:t xml:space="preserve">Table </w:t>
      </w:r>
      <w:r w:rsidR="00FF41C5">
        <w:fldChar w:fldCharType="begin"/>
      </w:r>
      <w:r w:rsidR="00FF41C5">
        <w:instrText xml:space="preserve"> SEQ Table \* ARABIC </w:instrText>
      </w:r>
      <w:r w:rsidR="00FF41C5">
        <w:fldChar w:fldCharType="separate"/>
      </w:r>
      <w:r w:rsidR="00B424F3">
        <w:rPr>
          <w:noProof/>
        </w:rPr>
        <w:t>11</w:t>
      </w:r>
      <w:r w:rsidR="00FF41C5">
        <w:rPr>
          <w:noProof/>
        </w:rPr>
        <w:fldChar w:fldCharType="end"/>
      </w:r>
      <w:r w:rsidRPr="00DD3825">
        <w:t xml:space="preserve"> </w:t>
      </w:r>
      <w:r>
        <w:t>Inputs for Calculation</w:t>
      </w:r>
      <w:bookmarkEnd w:id="95"/>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DD3825" w:rsidTr="001E4C31">
        <w:tc>
          <w:tcPr>
            <w:tcW w:w="1772" w:type="dxa"/>
            <w:shd w:val="clear" w:color="auto" w:fill="262626"/>
            <w:vAlign w:val="bottom"/>
          </w:tcPr>
          <w:p w:rsidR="00836F9B" w:rsidRPr="00DD3825" w:rsidRDefault="00836F9B" w:rsidP="001E4C31">
            <w:pPr>
              <w:keepNext/>
              <w:keepLines/>
              <w:jc w:val="center"/>
              <w:rPr>
                <w:rFonts w:cs="Arial"/>
                <w:b/>
                <w:bCs/>
                <w:sz w:val="20"/>
                <w:szCs w:val="20"/>
              </w:rPr>
            </w:pPr>
            <w:r w:rsidRPr="00DD3825">
              <w:rPr>
                <w:rFonts w:cs="Arial"/>
                <w:b/>
                <w:bCs/>
                <w:sz w:val="20"/>
                <w:szCs w:val="20"/>
              </w:rPr>
              <w:t>Input Variable</w:t>
            </w:r>
          </w:p>
        </w:tc>
        <w:tc>
          <w:tcPr>
            <w:tcW w:w="1735" w:type="dxa"/>
            <w:shd w:val="clear" w:color="auto" w:fill="262626"/>
            <w:vAlign w:val="bottom"/>
          </w:tcPr>
          <w:p w:rsidR="00836F9B" w:rsidRPr="00DD3825" w:rsidRDefault="00836F9B" w:rsidP="001E4C31">
            <w:pPr>
              <w:keepNext/>
              <w:keepLines/>
              <w:jc w:val="center"/>
              <w:rPr>
                <w:rFonts w:cs="Arial"/>
                <w:b/>
                <w:bCs/>
                <w:sz w:val="20"/>
                <w:szCs w:val="20"/>
              </w:rPr>
            </w:pPr>
            <w:r w:rsidRPr="00DD3825">
              <w:rPr>
                <w:rFonts w:cs="Arial"/>
                <w:b/>
                <w:bCs/>
                <w:sz w:val="20"/>
                <w:szCs w:val="20"/>
              </w:rPr>
              <w:t>Variations</w:t>
            </w:r>
          </w:p>
        </w:tc>
        <w:tc>
          <w:tcPr>
            <w:tcW w:w="1461" w:type="dxa"/>
            <w:shd w:val="clear" w:color="auto" w:fill="262626"/>
            <w:vAlign w:val="bottom"/>
          </w:tcPr>
          <w:p w:rsidR="00836F9B" w:rsidRPr="00DD3825" w:rsidRDefault="00836F9B" w:rsidP="001E4C31">
            <w:pPr>
              <w:keepNext/>
              <w:keepLines/>
              <w:jc w:val="center"/>
              <w:rPr>
                <w:rFonts w:cs="Arial"/>
                <w:b/>
                <w:bCs/>
                <w:sz w:val="20"/>
                <w:szCs w:val="20"/>
              </w:rPr>
            </w:pPr>
            <w:r w:rsidRPr="00DD3825">
              <w:rPr>
                <w:rFonts w:cs="Arial"/>
                <w:b/>
                <w:bCs/>
                <w:sz w:val="20"/>
                <w:szCs w:val="20"/>
              </w:rPr>
              <w:t>Base Case 1 Average Value</w:t>
            </w:r>
          </w:p>
        </w:tc>
        <w:tc>
          <w:tcPr>
            <w:tcW w:w="1399" w:type="dxa"/>
            <w:shd w:val="clear" w:color="auto" w:fill="262626"/>
            <w:vAlign w:val="bottom"/>
          </w:tcPr>
          <w:p w:rsidR="00836F9B" w:rsidRPr="00DD3825" w:rsidRDefault="00836F9B" w:rsidP="001E4C31">
            <w:pPr>
              <w:keepNext/>
              <w:keepLines/>
              <w:jc w:val="center"/>
              <w:rPr>
                <w:rFonts w:cs="Arial"/>
                <w:b/>
                <w:bCs/>
                <w:sz w:val="20"/>
                <w:szCs w:val="20"/>
              </w:rPr>
            </w:pPr>
            <w:r w:rsidRPr="00DD3825">
              <w:rPr>
                <w:rFonts w:cs="Arial"/>
                <w:b/>
                <w:bCs/>
                <w:sz w:val="20"/>
                <w:szCs w:val="20"/>
              </w:rPr>
              <w:t>Base Case 2 Average Value</w:t>
            </w:r>
          </w:p>
        </w:tc>
        <w:tc>
          <w:tcPr>
            <w:tcW w:w="1473" w:type="dxa"/>
            <w:shd w:val="clear" w:color="auto" w:fill="262626"/>
            <w:vAlign w:val="bottom"/>
          </w:tcPr>
          <w:p w:rsidR="00836F9B" w:rsidRPr="00DD3825" w:rsidRDefault="00836F9B" w:rsidP="001E4C31">
            <w:pPr>
              <w:keepNext/>
              <w:keepLines/>
              <w:jc w:val="center"/>
              <w:rPr>
                <w:rFonts w:cs="Arial"/>
                <w:b/>
                <w:bCs/>
                <w:sz w:val="20"/>
                <w:szCs w:val="20"/>
              </w:rPr>
            </w:pPr>
            <w:r w:rsidRPr="00DD3825">
              <w:rPr>
                <w:rFonts w:cs="Arial"/>
                <w:b/>
                <w:bCs/>
                <w:sz w:val="20"/>
                <w:szCs w:val="20"/>
              </w:rPr>
              <w:t>Measure Case Average Value</w:t>
            </w:r>
          </w:p>
        </w:tc>
        <w:tc>
          <w:tcPr>
            <w:tcW w:w="1736" w:type="dxa"/>
            <w:shd w:val="clear" w:color="auto" w:fill="262626"/>
            <w:vAlign w:val="bottom"/>
          </w:tcPr>
          <w:p w:rsidR="00836F9B" w:rsidRPr="00DD3825" w:rsidRDefault="00836F9B" w:rsidP="001E4C31">
            <w:pPr>
              <w:keepNext/>
              <w:keepLines/>
              <w:jc w:val="center"/>
              <w:rPr>
                <w:rFonts w:cs="Arial"/>
                <w:b/>
                <w:bCs/>
                <w:sz w:val="20"/>
                <w:szCs w:val="20"/>
              </w:rPr>
            </w:pPr>
            <w:r w:rsidRPr="00DD3825">
              <w:rPr>
                <w:rFonts w:cs="Arial"/>
                <w:b/>
                <w:bCs/>
                <w:sz w:val="20"/>
                <w:szCs w:val="20"/>
              </w:rPr>
              <w:t>Reference Section</w:t>
            </w:r>
          </w:p>
        </w:tc>
      </w:tr>
      <w:tr w:rsidR="009B1863" w:rsidRPr="00DD3825" w:rsidTr="001E4C31">
        <w:tc>
          <w:tcPr>
            <w:tcW w:w="1772" w:type="dxa"/>
            <w:shd w:val="pct5" w:color="000000" w:fill="FFFFFF"/>
            <w:vAlign w:val="bottom"/>
          </w:tcPr>
          <w:p w:rsidR="00836F9B" w:rsidRPr="00DD3825" w:rsidRDefault="00836F9B" w:rsidP="001E4C31">
            <w:pPr>
              <w:keepNext/>
              <w:jc w:val="center"/>
              <w:rPr>
                <w:rFonts w:cs="Arial"/>
                <w:b/>
                <w:sz w:val="20"/>
                <w:szCs w:val="20"/>
              </w:rPr>
            </w:pPr>
            <w:r w:rsidRPr="00DD3825">
              <w:rPr>
                <w:rFonts w:cs="Arial"/>
                <w:b/>
                <w:sz w:val="20"/>
                <w:szCs w:val="20"/>
              </w:rPr>
              <w:t>Electric Savings</w:t>
            </w:r>
          </w:p>
        </w:tc>
        <w:tc>
          <w:tcPr>
            <w:tcW w:w="1735" w:type="dxa"/>
            <w:shd w:val="pct5" w:color="000000" w:fill="FFFFFF"/>
            <w:vAlign w:val="bottom"/>
          </w:tcPr>
          <w:p w:rsidR="00836F9B" w:rsidRPr="00DD3825" w:rsidRDefault="0005129B" w:rsidP="001E4C31">
            <w:pPr>
              <w:keepNext/>
              <w:jc w:val="center"/>
              <w:rPr>
                <w:rFonts w:cs="Arial"/>
                <w:sz w:val="20"/>
                <w:szCs w:val="20"/>
              </w:rPr>
            </w:pPr>
            <w:r w:rsidRPr="00DD3825">
              <w:rPr>
                <w:rFonts w:cs="Arial"/>
                <w:sz w:val="20"/>
                <w:szCs w:val="20"/>
              </w:rPr>
              <w:t>CZ, BT, Utility</w:t>
            </w:r>
          </w:p>
        </w:tc>
        <w:tc>
          <w:tcPr>
            <w:tcW w:w="1461" w:type="dxa"/>
            <w:shd w:val="pct5" w:color="000000" w:fill="FFFFFF"/>
            <w:vAlign w:val="bottom"/>
          </w:tcPr>
          <w:p w:rsidR="00836F9B" w:rsidRPr="00DD3825" w:rsidRDefault="007D3BD3" w:rsidP="001E4C31">
            <w:pPr>
              <w:keepNext/>
              <w:jc w:val="center"/>
              <w:rPr>
                <w:rFonts w:cs="Arial"/>
                <w:sz w:val="20"/>
                <w:szCs w:val="20"/>
              </w:rPr>
            </w:pPr>
            <w:r w:rsidRPr="00DD3825">
              <w:rPr>
                <w:rFonts w:cs="Arial"/>
                <w:sz w:val="20"/>
                <w:szCs w:val="20"/>
              </w:rPr>
              <w:t>0</w:t>
            </w:r>
          </w:p>
        </w:tc>
        <w:tc>
          <w:tcPr>
            <w:tcW w:w="1399" w:type="dxa"/>
            <w:shd w:val="pct5" w:color="000000" w:fill="FFFFFF"/>
            <w:vAlign w:val="bottom"/>
          </w:tcPr>
          <w:p w:rsidR="00836F9B" w:rsidRPr="00DD3825" w:rsidRDefault="007D3BD3" w:rsidP="001E4C31">
            <w:pPr>
              <w:keepNext/>
              <w:jc w:val="center"/>
              <w:rPr>
                <w:rFonts w:cs="Arial"/>
                <w:sz w:val="20"/>
                <w:szCs w:val="20"/>
              </w:rPr>
            </w:pPr>
            <w:r w:rsidRPr="00DD3825">
              <w:rPr>
                <w:rFonts w:cs="Arial"/>
                <w:sz w:val="20"/>
                <w:szCs w:val="20"/>
              </w:rPr>
              <w:t>0</w:t>
            </w:r>
          </w:p>
        </w:tc>
        <w:tc>
          <w:tcPr>
            <w:tcW w:w="1473" w:type="dxa"/>
            <w:shd w:val="pct5" w:color="000000" w:fill="FFFFFF"/>
            <w:vAlign w:val="bottom"/>
          </w:tcPr>
          <w:p w:rsidR="00836F9B" w:rsidRPr="00DD3825" w:rsidRDefault="007D3BD3" w:rsidP="001E4C31">
            <w:pPr>
              <w:keepNext/>
              <w:jc w:val="center"/>
              <w:rPr>
                <w:rFonts w:cs="Arial"/>
                <w:sz w:val="20"/>
                <w:szCs w:val="20"/>
              </w:rPr>
            </w:pPr>
            <w:r w:rsidRPr="00DD3825">
              <w:rPr>
                <w:rFonts w:cs="Arial"/>
                <w:sz w:val="20"/>
                <w:szCs w:val="20"/>
              </w:rPr>
              <w:t>82.119</w:t>
            </w:r>
          </w:p>
        </w:tc>
        <w:tc>
          <w:tcPr>
            <w:tcW w:w="1736" w:type="dxa"/>
            <w:shd w:val="pct5" w:color="000000" w:fill="FFFFFF"/>
            <w:vAlign w:val="bottom"/>
          </w:tcPr>
          <w:p w:rsidR="00836F9B" w:rsidRPr="00DD3825" w:rsidRDefault="00836F9B" w:rsidP="001E4C31">
            <w:pPr>
              <w:keepNext/>
              <w:jc w:val="center"/>
              <w:rPr>
                <w:rFonts w:cs="Arial"/>
                <w:i/>
                <w:sz w:val="20"/>
                <w:szCs w:val="20"/>
              </w:rPr>
            </w:pPr>
            <w:r w:rsidRPr="00DD3825">
              <w:rPr>
                <w:rFonts w:cs="Arial"/>
                <w:i/>
                <w:sz w:val="20"/>
                <w:szCs w:val="20"/>
              </w:rPr>
              <w:t>Section 1.4.1</w:t>
            </w:r>
          </w:p>
        </w:tc>
      </w:tr>
      <w:tr w:rsidR="009B1863" w:rsidRPr="00DD3825" w:rsidTr="001E4C31">
        <w:tc>
          <w:tcPr>
            <w:tcW w:w="1772" w:type="dxa"/>
            <w:shd w:val="pct20" w:color="000000" w:fill="FFFFFF"/>
            <w:vAlign w:val="bottom"/>
          </w:tcPr>
          <w:p w:rsidR="00836F9B" w:rsidRPr="00DD3825" w:rsidRDefault="00836F9B" w:rsidP="001E4C31">
            <w:pPr>
              <w:keepNext/>
              <w:jc w:val="center"/>
              <w:rPr>
                <w:rFonts w:cs="Arial"/>
                <w:b/>
                <w:sz w:val="20"/>
                <w:szCs w:val="20"/>
              </w:rPr>
            </w:pPr>
            <w:r w:rsidRPr="00DD3825">
              <w:rPr>
                <w:rFonts w:cs="Arial"/>
                <w:b/>
                <w:sz w:val="20"/>
                <w:szCs w:val="20"/>
              </w:rPr>
              <w:t>Gas Savings</w:t>
            </w:r>
          </w:p>
        </w:tc>
        <w:tc>
          <w:tcPr>
            <w:tcW w:w="1735" w:type="dxa"/>
            <w:shd w:val="pct20" w:color="000000" w:fill="FFFFFF"/>
            <w:vAlign w:val="bottom"/>
          </w:tcPr>
          <w:p w:rsidR="00836F9B" w:rsidRPr="00DD3825" w:rsidRDefault="0005129B" w:rsidP="001E4C31">
            <w:pPr>
              <w:keepNext/>
              <w:jc w:val="center"/>
              <w:rPr>
                <w:rFonts w:cs="Arial"/>
                <w:sz w:val="20"/>
                <w:szCs w:val="20"/>
              </w:rPr>
            </w:pPr>
            <w:r w:rsidRPr="00DD3825">
              <w:rPr>
                <w:rFonts w:cs="Arial"/>
                <w:sz w:val="20"/>
                <w:szCs w:val="20"/>
              </w:rPr>
              <w:t>CZ, BT, Utility</w:t>
            </w:r>
          </w:p>
        </w:tc>
        <w:tc>
          <w:tcPr>
            <w:tcW w:w="1461" w:type="dxa"/>
            <w:shd w:val="pct20" w:color="000000" w:fill="FFFFFF"/>
            <w:vAlign w:val="bottom"/>
          </w:tcPr>
          <w:p w:rsidR="00836F9B" w:rsidRPr="00DD3825" w:rsidRDefault="007D3BD3" w:rsidP="001E4C31">
            <w:pPr>
              <w:keepNext/>
              <w:jc w:val="center"/>
              <w:rPr>
                <w:rFonts w:cs="Arial"/>
                <w:sz w:val="20"/>
                <w:szCs w:val="20"/>
              </w:rPr>
            </w:pPr>
            <w:r w:rsidRPr="00DD3825">
              <w:rPr>
                <w:rFonts w:cs="Arial"/>
                <w:sz w:val="20"/>
                <w:szCs w:val="20"/>
              </w:rPr>
              <w:t>0</w:t>
            </w:r>
          </w:p>
        </w:tc>
        <w:tc>
          <w:tcPr>
            <w:tcW w:w="1399" w:type="dxa"/>
            <w:shd w:val="pct20" w:color="000000" w:fill="FFFFFF"/>
            <w:vAlign w:val="bottom"/>
          </w:tcPr>
          <w:p w:rsidR="00836F9B" w:rsidRPr="00DD3825" w:rsidRDefault="007D3BD3" w:rsidP="001E4C31">
            <w:pPr>
              <w:keepNext/>
              <w:jc w:val="center"/>
              <w:rPr>
                <w:rFonts w:cs="Arial"/>
                <w:sz w:val="20"/>
                <w:szCs w:val="20"/>
              </w:rPr>
            </w:pPr>
            <w:r w:rsidRPr="00DD3825">
              <w:rPr>
                <w:rFonts w:cs="Arial"/>
                <w:sz w:val="20"/>
                <w:szCs w:val="20"/>
              </w:rPr>
              <w:t>0</w:t>
            </w:r>
          </w:p>
        </w:tc>
        <w:tc>
          <w:tcPr>
            <w:tcW w:w="1473" w:type="dxa"/>
            <w:shd w:val="pct20" w:color="000000" w:fill="FFFFFF"/>
            <w:vAlign w:val="bottom"/>
          </w:tcPr>
          <w:p w:rsidR="00836F9B" w:rsidRPr="00DD3825" w:rsidRDefault="007D3BD3" w:rsidP="001E4C31">
            <w:pPr>
              <w:keepNext/>
              <w:jc w:val="center"/>
              <w:rPr>
                <w:rFonts w:cs="Arial"/>
                <w:sz w:val="20"/>
                <w:szCs w:val="20"/>
              </w:rPr>
            </w:pPr>
            <w:r w:rsidRPr="00DD3825">
              <w:rPr>
                <w:rFonts w:cs="Arial"/>
                <w:sz w:val="20"/>
                <w:szCs w:val="20"/>
              </w:rPr>
              <w:t>5.848</w:t>
            </w:r>
          </w:p>
        </w:tc>
        <w:tc>
          <w:tcPr>
            <w:tcW w:w="1736" w:type="dxa"/>
            <w:shd w:val="pct20" w:color="000000" w:fill="FFFFFF"/>
            <w:vAlign w:val="bottom"/>
          </w:tcPr>
          <w:p w:rsidR="00836F9B" w:rsidRPr="00DD3825" w:rsidRDefault="007D3BD3" w:rsidP="001E4C31">
            <w:pPr>
              <w:keepNext/>
              <w:jc w:val="center"/>
              <w:rPr>
                <w:rFonts w:cs="Arial"/>
                <w:sz w:val="20"/>
                <w:szCs w:val="20"/>
              </w:rPr>
            </w:pPr>
            <w:r w:rsidRPr="00DD3825">
              <w:rPr>
                <w:rFonts w:cs="Arial"/>
                <w:i/>
                <w:sz w:val="20"/>
                <w:szCs w:val="20"/>
              </w:rPr>
              <w:t>Section 1.4.1</w:t>
            </w:r>
          </w:p>
        </w:tc>
      </w:tr>
      <w:tr w:rsidR="009B1863" w:rsidRPr="00DD3825" w:rsidTr="001E4C31">
        <w:tc>
          <w:tcPr>
            <w:tcW w:w="1772" w:type="dxa"/>
            <w:shd w:val="pct5" w:color="000000" w:fill="FFFFFF"/>
            <w:vAlign w:val="bottom"/>
          </w:tcPr>
          <w:p w:rsidR="00836F9B" w:rsidRPr="00DD3825" w:rsidRDefault="00836F9B" w:rsidP="001E4C31">
            <w:pPr>
              <w:keepNext/>
              <w:jc w:val="center"/>
              <w:rPr>
                <w:rFonts w:cs="Arial"/>
                <w:b/>
                <w:sz w:val="20"/>
                <w:szCs w:val="20"/>
              </w:rPr>
            </w:pPr>
            <w:r w:rsidRPr="00DD3825">
              <w:rPr>
                <w:rFonts w:cs="Arial"/>
                <w:b/>
                <w:sz w:val="20"/>
                <w:szCs w:val="20"/>
              </w:rPr>
              <w:t>Hours of operation</w:t>
            </w:r>
          </w:p>
        </w:tc>
        <w:tc>
          <w:tcPr>
            <w:tcW w:w="1735" w:type="dxa"/>
            <w:shd w:val="pct5" w:color="000000" w:fill="FFFFFF"/>
            <w:vAlign w:val="bottom"/>
          </w:tcPr>
          <w:p w:rsidR="00836F9B" w:rsidRPr="00DD3825" w:rsidRDefault="0005129B" w:rsidP="001E4C31">
            <w:pPr>
              <w:keepNext/>
              <w:jc w:val="center"/>
              <w:rPr>
                <w:rFonts w:cs="Arial"/>
                <w:sz w:val="20"/>
                <w:szCs w:val="20"/>
              </w:rPr>
            </w:pPr>
            <w:r w:rsidRPr="00DD3825">
              <w:rPr>
                <w:rFonts w:cs="Arial"/>
                <w:sz w:val="20"/>
                <w:szCs w:val="20"/>
              </w:rPr>
              <w:t>BT</w:t>
            </w:r>
          </w:p>
        </w:tc>
        <w:tc>
          <w:tcPr>
            <w:tcW w:w="1461" w:type="dxa"/>
            <w:shd w:val="pct5" w:color="000000" w:fill="FFFFFF"/>
            <w:vAlign w:val="bottom"/>
          </w:tcPr>
          <w:p w:rsidR="00836F9B" w:rsidRPr="00DD3825" w:rsidRDefault="00974A35" w:rsidP="001E4C31">
            <w:pPr>
              <w:keepNext/>
              <w:jc w:val="center"/>
              <w:rPr>
                <w:rFonts w:cs="Arial"/>
                <w:sz w:val="20"/>
                <w:szCs w:val="20"/>
              </w:rPr>
            </w:pPr>
            <w:r w:rsidRPr="00DD3825">
              <w:rPr>
                <w:rFonts w:cs="Arial"/>
                <w:sz w:val="20"/>
                <w:szCs w:val="20"/>
              </w:rPr>
              <w:t>88</w:t>
            </w:r>
          </w:p>
        </w:tc>
        <w:tc>
          <w:tcPr>
            <w:tcW w:w="1399" w:type="dxa"/>
            <w:shd w:val="pct5" w:color="000000" w:fill="FFFFFF"/>
            <w:vAlign w:val="bottom"/>
          </w:tcPr>
          <w:p w:rsidR="00836F9B" w:rsidRPr="00DD3825" w:rsidRDefault="00974A35" w:rsidP="001E4C31">
            <w:pPr>
              <w:keepNext/>
              <w:jc w:val="center"/>
              <w:rPr>
                <w:rFonts w:cs="Arial"/>
                <w:sz w:val="20"/>
                <w:szCs w:val="20"/>
              </w:rPr>
            </w:pPr>
            <w:r w:rsidRPr="00DD3825">
              <w:rPr>
                <w:rFonts w:cs="Arial"/>
                <w:sz w:val="20"/>
                <w:szCs w:val="20"/>
              </w:rPr>
              <w:t>88</w:t>
            </w:r>
          </w:p>
        </w:tc>
        <w:tc>
          <w:tcPr>
            <w:tcW w:w="1473" w:type="dxa"/>
            <w:shd w:val="pct5" w:color="000000" w:fill="FFFFFF"/>
            <w:vAlign w:val="bottom"/>
          </w:tcPr>
          <w:p w:rsidR="00836F9B" w:rsidRPr="00DD3825" w:rsidRDefault="00974A35" w:rsidP="001E4C31">
            <w:pPr>
              <w:keepNext/>
              <w:jc w:val="center"/>
              <w:rPr>
                <w:rFonts w:cs="Arial"/>
                <w:sz w:val="20"/>
                <w:szCs w:val="20"/>
              </w:rPr>
            </w:pPr>
            <w:r w:rsidRPr="00DD3825">
              <w:rPr>
                <w:rFonts w:cs="Arial"/>
                <w:sz w:val="20"/>
                <w:szCs w:val="20"/>
              </w:rPr>
              <w:t>88</w:t>
            </w:r>
          </w:p>
        </w:tc>
        <w:tc>
          <w:tcPr>
            <w:tcW w:w="1736" w:type="dxa"/>
            <w:shd w:val="pct5" w:color="000000" w:fill="FFFFFF"/>
            <w:vAlign w:val="bottom"/>
          </w:tcPr>
          <w:p w:rsidR="00836F9B" w:rsidRPr="00DD3825" w:rsidRDefault="00836F9B" w:rsidP="001E4C31">
            <w:pPr>
              <w:keepNext/>
              <w:jc w:val="center"/>
              <w:rPr>
                <w:rFonts w:cs="Arial"/>
                <w:sz w:val="20"/>
                <w:szCs w:val="20"/>
              </w:rPr>
            </w:pPr>
          </w:p>
        </w:tc>
      </w:tr>
      <w:tr w:rsidR="009037F0" w:rsidRPr="00DD3825" w:rsidTr="001E4C31">
        <w:tc>
          <w:tcPr>
            <w:tcW w:w="1772" w:type="dxa"/>
            <w:shd w:val="pct20" w:color="000000" w:fill="FFFFFF"/>
            <w:vAlign w:val="bottom"/>
          </w:tcPr>
          <w:p w:rsidR="009037F0" w:rsidRPr="00DD3825" w:rsidRDefault="009037F0" w:rsidP="001E4C31">
            <w:pPr>
              <w:keepNext/>
              <w:jc w:val="center"/>
              <w:rPr>
                <w:rFonts w:cs="Arial"/>
                <w:b/>
                <w:sz w:val="20"/>
                <w:szCs w:val="20"/>
              </w:rPr>
            </w:pPr>
            <w:r w:rsidRPr="00DD3825">
              <w:rPr>
                <w:rFonts w:cs="Arial"/>
                <w:b/>
                <w:sz w:val="20"/>
                <w:szCs w:val="20"/>
              </w:rPr>
              <w:t xml:space="preserve">Full Cost </w:t>
            </w:r>
          </w:p>
        </w:tc>
        <w:tc>
          <w:tcPr>
            <w:tcW w:w="1735" w:type="dxa"/>
            <w:shd w:val="pct20" w:color="000000" w:fill="FFFFFF"/>
            <w:vAlign w:val="bottom"/>
          </w:tcPr>
          <w:p w:rsidR="009037F0" w:rsidRPr="00DD3825" w:rsidRDefault="009037F0" w:rsidP="001E4C31">
            <w:pPr>
              <w:keepNext/>
              <w:jc w:val="center"/>
              <w:rPr>
                <w:rFonts w:cs="Arial"/>
                <w:sz w:val="20"/>
                <w:szCs w:val="20"/>
              </w:rPr>
            </w:pPr>
            <w:r w:rsidRPr="00DD3825">
              <w:rPr>
                <w:rFonts w:cs="Arial"/>
                <w:sz w:val="20"/>
                <w:szCs w:val="20"/>
              </w:rPr>
              <w:t>Measure Code</w:t>
            </w:r>
          </w:p>
        </w:tc>
        <w:tc>
          <w:tcPr>
            <w:tcW w:w="1461" w:type="dxa"/>
            <w:shd w:val="pct20" w:color="000000" w:fill="FFFFFF"/>
            <w:vAlign w:val="bottom"/>
          </w:tcPr>
          <w:p w:rsidR="009037F0" w:rsidRPr="00DD3825" w:rsidRDefault="009037F0" w:rsidP="00211042">
            <w:pPr>
              <w:keepNext/>
              <w:jc w:val="center"/>
              <w:rPr>
                <w:rFonts w:cs="Arial"/>
                <w:sz w:val="20"/>
                <w:szCs w:val="20"/>
              </w:rPr>
            </w:pPr>
            <w:r w:rsidRPr="00DD3825">
              <w:rPr>
                <w:rFonts w:cs="Arial"/>
                <w:sz w:val="20"/>
                <w:szCs w:val="20"/>
              </w:rPr>
              <w:t>0</w:t>
            </w:r>
          </w:p>
        </w:tc>
        <w:tc>
          <w:tcPr>
            <w:tcW w:w="1399" w:type="dxa"/>
            <w:shd w:val="pct20" w:color="000000" w:fill="FFFFFF"/>
            <w:vAlign w:val="bottom"/>
          </w:tcPr>
          <w:p w:rsidR="009037F0" w:rsidRPr="00DD3825" w:rsidRDefault="009037F0" w:rsidP="00211042">
            <w:pPr>
              <w:keepNext/>
              <w:jc w:val="center"/>
              <w:rPr>
                <w:rFonts w:cs="Arial"/>
                <w:sz w:val="20"/>
                <w:szCs w:val="20"/>
              </w:rPr>
            </w:pPr>
            <w:r w:rsidRPr="00DD3825">
              <w:rPr>
                <w:rFonts w:cs="Arial"/>
                <w:sz w:val="20"/>
                <w:szCs w:val="20"/>
              </w:rPr>
              <w:t>0</w:t>
            </w:r>
          </w:p>
        </w:tc>
        <w:tc>
          <w:tcPr>
            <w:tcW w:w="1473" w:type="dxa"/>
            <w:shd w:val="pct20" w:color="000000" w:fill="FFFFFF"/>
            <w:vAlign w:val="bottom"/>
          </w:tcPr>
          <w:p w:rsidR="009037F0" w:rsidRPr="00DD3825" w:rsidRDefault="009037F0" w:rsidP="00211042">
            <w:pPr>
              <w:keepNext/>
              <w:jc w:val="center"/>
              <w:rPr>
                <w:rFonts w:cs="Arial"/>
                <w:sz w:val="20"/>
                <w:szCs w:val="20"/>
              </w:rPr>
            </w:pPr>
            <w:r w:rsidRPr="00DD3825">
              <w:rPr>
                <w:rFonts w:cs="Arial"/>
                <w:sz w:val="20"/>
                <w:szCs w:val="20"/>
              </w:rPr>
              <w:t>162.05, 64.69</w:t>
            </w:r>
          </w:p>
        </w:tc>
        <w:tc>
          <w:tcPr>
            <w:tcW w:w="1736" w:type="dxa"/>
            <w:shd w:val="pct20" w:color="000000" w:fill="FFFFFF"/>
            <w:vAlign w:val="bottom"/>
          </w:tcPr>
          <w:p w:rsidR="009037F0" w:rsidRPr="00DD3825" w:rsidRDefault="009037F0" w:rsidP="001E4C31">
            <w:pPr>
              <w:keepNext/>
              <w:jc w:val="center"/>
              <w:rPr>
                <w:rFonts w:cs="Arial"/>
                <w:sz w:val="20"/>
                <w:szCs w:val="20"/>
              </w:rPr>
            </w:pPr>
            <w:r w:rsidRPr="00DD3825">
              <w:rPr>
                <w:rFonts w:cs="Arial"/>
                <w:i/>
                <w:sz w:val="20"/>
                <w:szCs w:val="20"/>
              </w:rPr>
              <w:t>Section 4.3.1</w:t>
            </w:r>
          </w:p>
        </w:tc>
      </w:tr>
      <w:tr w:rsidR="009037F0" w:rsidRPr="00DD3825" w:rsidTr="001E4C31">
        <w:tc>
          <w:tcPr>
            <w:tcW w:w="1772" w:type="dxa"/>
            <w:shd w:val="pct5" w:color="000000" w:fill="FFFFFF"/>
            <w:vAlign w:val="bottom"/>
          </w:tcPr>
          <w:p w:rsidR="009037F0" w:rsidRPr="00DD3825" w:rsidRDefault="009037F0" w:rsidP="001E4C31">
            <w:pPr>
              <w:keepNext/>
              <w:jc w:val="center"/>
              <w:rPr>
                <w:rFonts w:cs="Arial"/>
                <w:b/>
                <w:sz w:val="20"/>
                <w:szCs w:val="20"/>
              </w:rPr>
            </w:pPr>
            <w:r w:rsidRPr="00DD3825">
              <w:rPr>
                <w:rFonts w:cs="Arial"/>
                <w:b/>
                <w:sz w:val="20"/>
                <w:szCs w:val="20"/>
              </w:rPr>
              <w:t>Incremental Cost</w:t>
            </w:r>
          </w:p>
        </w:tc>
        <w:tc>
          <w:tcPr>
            <w:tcW w:w="1735" w:type="dxa"/>
            <w:shd w:val="pct5" w:color="000000" w:fill="FFFFFF"/>
            <w:vAlign w:val="bottom"/>
          </w:tcPr>
          <w:p w:rsidR="009037F0" w:rsidRPr="00DD3825" w:rsidRDefault="009037F0" w:rsidP="001E4C31">
            <w:pPr>
              <w:keepNext/>
              <w:jc w:val="center"/>
              <w:rPr>
                <w:rFonts w:cs="Arial"/>
                <w:sz w:val="20"/>
                <w:szCs w:val="20"/>
              </w:rPr>
            </w:pPr>
            <w:r w:rsidRPr="00DD3825">
              <w:rPr>
                <w:rFonts w:cs="Arial"/>
                <w:sz w:val="20"/>
                <w:szCs w:val="20"/>
              </w:rPr>
              <w:t>Measure Code</w:t>
            </w:r>
          </w:p>
        </w:tc>
        <w:tc>
          <w:tcPr>
            <w:tcW w:w="1461" w:type="dxa"/>
            <w:shd w:val="pct5" w:color="000000" w:fill="FFFFFF"/>
            <w:vAlign w:val="bottom"/>
          </w:tcPr>
          <w:p w:rsidR="009037F0" w:rsidRPr="00DD3825" w:rsidRDefault="009037F0" w:rsidP="001E4C31">
            <w:pPr>
              <w:keepNext/>
              <w:jc w:val="center"/>
              <w:rPr>
                <w:rFonts w:cs="Arial"/>
                <w:sz w:val="20"/>
                <w:szCs w:val="20"/>
              </w:rPr>
            </w:pPr>
            <w:r w:rsidRPr="00DD3825">
              <w:rPr>
                <w:rFonts w:cs="Arial"/>
                <w:sz w:val="20"/>
                <w:szCs w:val="20"/>
              </w:rPr>
              <w:t>0</w:t>
            </w:r>
          </w:p>
        </w:tc>
        <w:tc>
          <w:tcPr>
            <w:tcW w:w="1399" w:type="dxa"/>
            <w:shd w:val="pct5" w:color="000000" w:fill="FFFFFF"/>
            <w:vAlign w:val="bottom"/>
          </w:tcPr>
          <w:p w:rsidR="009037F0" w:rsidRPr="00DD3825" w:rsidRDefault="009037F0" w:rsidP="001E4C31">
            <w:pPr>
              <w:keepNext/>
              <w:jc w:val="center"/>
              <w:rPr>
                <w:rFonts w:cs="Arial"/>
                <w:sz w:val="20"/>
                <w:szCs w:val="20"/>
              </w:rPr>
            </w:pPr>
            <w:r w:rsidRPr="00DD3825">
              <w:rPr>
                <w:rFonts w:cs="Arial"/>
                <w:sz w:val="20"/>
                <w:szCs w:val="20"/>
              </w:rPr>
              <w:t>0</w:t>
            </w:r>
          </w:p>
        </w:tc>
        <w:tc>
          <w:tcPr>
            <w:tcW w:w="1473" w:type="dxa"/>
            <w:shd w:val="pct5" w:color="000000" w:fill="FFFFFF"/>
            <w:vAlign w:val="bottom"/>
          </w:tcPr>
          <w:p w:rsidR="009037F0" w:rsidRPr="00DD3825" w:rsidRDefault="009037F0" w:rsidP="001E4C31">
            <w:pPr>
              <w:keepNext/>
              <w:jc w:val="center"/>
              <w:rPr>
                <w:rFonts w:cs="Arial"/>
                <w:sz w:val="20"/>
                <w:szCs w:val="20"/>
              </w:rPr>
            </w:pPr>
            <w:r w:rsidRPr="00DD3825">
              <w:rPr>
                <w:rFonts w:cs="Arial"/>
                <w:sz w:val="20"/>
                <w:szCs w:val="20"/>
              </w:rPr>
              <w:t>162.05, 64.69</w:t>
            </w:r>
          </w:p>
        </w:tc>
        <w:tc>
          <w:tcPr>
            <w:tcW w:w="1736" w:type="dxa"/>
            <w:shd w:val="pct5" w:color="000000" w:fill="FFFFFF"/>
            <w:vAlign w:val="bottom"/>
          </w:tcPr>
          <w:p w:rsidR="009037F0" w:rsidRPr="00DD3825" w:rsidRDefault="009037F0" w:rsidP="001E4C31">
            <w:pPr>
              <w:keepNext/>
              <w:jc w:val="center"/>
              <w:rPr>
                <w:rFonts w:cs="Arial"/>
                <w:i/>
                <w:sz w:val="20"/>
                <w:szCs w:val="20"/>
              </w:rPr>
            </w:pPr>
            <w:r w:rsidRPr="00DD3825">
              <w:rPr>
                <w:rFonts w:cs="Arial"/>
                <w:i/>
                <w:sz w:val="20"/>
                <w:szCs w:val="20"/>
              </w:rPr>
              <w:t>Section 4.3.2</w:t>
            </w:r>
          </w:p>
        </w:tc>
      </w:tr>
      <w:tr w:rsidR="009037F0" w:rsidRPr="00DD3825" w:rsidTr="001E4C31">
        <w:tc>
          <w:tcPr>
            <w:tcW w:w="1772" w:type="dxa"/>
            <w:shd w:val="pct20" w:color="000000" w:fill="FFFFFF"/>
            <w:vAlign w:val="bottom"/>
          </w:tcPr>
          <w:p w:rsidR="009037F0" w:rsidRPr="00DD3825" w:rsidRDefault="009037F0" w:rsidP="001E4C31">
            <w:pPr>
              <w:keepNext/>
              <w:jc w:val="center"/>
              <w:rPr>
                <w:rFonts w:cs="Arial"/>
                <w:b/>
                <w:sz w:val="20"/>
                <w:szCs w:val="20"/>
              </w:rPr>
            </w:pPr>
            <w:r w:rsidRPr="00DD3825">
              <w:rPr>
                <w:rFonts w:cs="Arial"/>
                <w:b/>
                <w:sz w:val="20"/>
                <w:szCs w:val="20"/>
              </w:rPr>
              <w:t>EUL /RUL</w:t>
            </w:r>
          </w:p>
        </w:tc>
        <w:tc>
          <w:tcPr>
            <w:tcW w:w="1735" w:type="dxa"/>
            <w:shd w:val="pct20" w:color="000000" w:fill="FFFFFF"/>
            <w:vAlign w:val="bottom"/>
          </w:tcPr>
          <w:p w:rsidR="009037F0" w:rsidRPr="00DD3825" w:rsidRDefault="009037F0" w:rsidP="001E4C31">
            <w:pPr>
              <w:keepNext/>
              <w:jc w:val="center"/>
              <w:rPr>
                <w:rFonts w:cs="Arial"/>
                <w:sz w:val="20"/>
                <w:szCs w:val="20"/>
              </w:rPr>
            </w:pPr>
            <w:r w:rsidRPr="00DD3825">
              <w:rPr>
                <w:rFonts w:cs="Arial"/>
                <w:sz w:val="20"/>
                <w:szCs w:val="20"/>
              </w:rPr>
              <w:t>One</w:t>
            </w:r>
          </w:p>
        </w:tc>
        <w:tc>
          <w:tcPr>
            <w:tcW w:w="1461" w:type="dxa"/>
            <w:shd w:val="pct20" w:color="000000" w:fill="FFFFFF"/>
            <w:vAlign w:val="bottom"/>
          </w:tcPr>
          <w:p w:rsidR="009037F0" w:rsidRPr="00DD3825" w:rsidRDefault="009037F0" w:rsidP="001E4C31">
            <w:pPr>
              <w:keepNext/>
              <w:jc w:val="center"/>
              <w:rPr>
                <w:rFonts w:cs="Arial"/>
                <w:sz w:val="20"/>
                <w:szCs w:val="20"/>
              </w:rPr>
            </w:pPr>
            <w:r w:rsidRPr="00DD3825">
              <w:rPr>
                <w:rFonts w:cs="Arial"/>
                <w:sz w:val="20"/>
                <w:szCs w:val="20"/>
              </w:rPr>
              <w:t>5</w:t>
            </w:r>
          </w:p>
        </w:tc>
        <w:tc>
          <w:tcPr>
            <w:tcW w:w="1399" w:type="dxa"/>
            <w:shd w:val="pct20" w:color="000000" w:fill="FFFFFF"/>
            <w:vAlign w:val="bottom"/>
          </w:tcPr>
          <w:p w:rsidR="009037F0" w:rsidRPr="00DD3825" w:rsidRDefault="00A657F1" w:rsidP="001E4C31">
            <w:pPr>
              <w:keepNext/>
              <w:jc w:val="center"/>
              <w:rPr>
                <w:rFonts w:cs="Arial"/>
                <w:sz w:val="20"/>
                <w:szCs w:val="20"/>
              </w:rPr>
            </w:pPr>
            <w:r w:rsidRPr="00DD3825">
              <w:rPr>
                <w:rFonts w:cs="Arial"/>
                <w:sz w:val="20"/>
                <w:szCs w:val="20"/>
              </w:rPr>
              <w:t>15</w:t>
            </w:r>
          </w:p>
        </w:tc>
        <w:tc>
          <w:tcPr>
            <w:tcW w:w="1473" w:type="dxa"/>
            <w:shd w:val="pct20" w:color="000000" w:fill="FFFFFF"/>
            <w:vAlign w:val="bottom"/>
          </w:tcPr>
          <w:p w:rsidR="009037F0" w:rsidRPr="00DD3825" w:rsidRDefault="00A657F1" w:rsidP="001E4C31">
            <w:pPr>
              <w:keepNext/>
              <w:jc w:val="center"/>
              <w:rPr>
                <w:rFonts w:cs="Arial"/>
                <w:sz w:val="20"/>
                <w:szCs w:val="20"/>
              </w:rPr>
            </w:pPr>
            <w:r w:rsidRPr="00DD3825">
              <w:rPr>
                <w:rFonts w:cs="Arial"/>
                <w:sz w:val="20"/>
                <w:szCs w:val="20"/>
              </w:rPr>
              <w:t>5</w:t>
            </w:r>
          </w:p>
        </w:tc>
        <w:tc>
          <w:tcPr>
            <w:tcW w:w="1736" w:type="dxa"/>
            <w:shd w:val="pct20" w:color="000000" w:fill="FFFFFF"/>
            <w:vAlign w:val="bottom"/>
          </w:tcPr>
          <w:p w:rsidR="009037F0" w:rsidRPr="00DD3825" w:rsidRDefault="007D3BD3" w:rsidP="001E4C31">
            <w:pPr>
              <w:keepNext/>
              <w:jc w:val="center"/>
              <w:rPr>
                <w:rFonts w:cs="Arial"/>
                <w:sz w:val="20"/>
                <w:szCs w:val="20"/>
              </w:rPr>
            </w:pPr>
            <w:r w:rsidRPr="00DD3825">
              <w:rPr>
                <w:rFonts w:cs="Arial"/>
                <w:i/>
                <w:sz w:val="20"/>
                <w:szCs w:val="20"/>
              </w:rPr>
              <w:t>Section 1.4.1</w:t>
            </w:r>
          </w:p>
        </w:tc>
      </w:tr>
      <w:tr w:rsidR="009037F0" w:rsidRPr="00DD3825" w:rsidTr="001E4C31">
        <w:tc>
          <w:tcPr>
            <w:tcW w:w="1772" w:type="dxa"/>
            <w:shd w:val="pct5" w:color="000000" w:fill="FFFFFF"/>
            <w:vAlign w:val="bottom"/>
          </w:tcPr>
          <w:p w:rsidR="009037F0" w:rsidRPr="00DD3825" w:rsidRDefault="009037F0" w:rsidP="001E4C31">
            <w:pPr>
              <w:keepNext/>
              <w:spacing w:before="40" w:after="40"/>
              <w:jc w:val="center"/>
              <w:rPr>
                <w:rFonts w:cs="Arial"/>
                <w:b/>
                <w:sz w:val="20"/>
                <w:szCs w:val="20"/>
              </w:rPr>
            </w:pPr>
            <w:r w:rsidRPr="00DD3825">
              <w:rPr>
                <w:rFonts w:cs="Arial"/>
                <w:b/>
                <w:sz w:val="20"/>
                <w:szCs w:val="20"/>
              </w:rPr>
              <w:t>NTG</w:t>
            </w:r>
          </w:p>
        </w:tc>
        <w:tc>
          <w:tcPr>
            <w:tcW w:w="1735" w:type="dxa"/>
            <w:shd w:val="pct5" w:color="000000" w:fill="FFFFFF"/>
            <w:vAlign w:val="bottom"/>
          </w:tcPr>
          <w:p w:rsidR="009037F0" w:rsidRPr="00DD3825" w:rsidRDefault="009037F0" w:rsidP="001E4C31">
            <w:pPr>
              <w:keepNext/>
              <w:spacing w:before="40" w:after="40"/>
              <w:jc w:val="center"/>
              <w:rPr>
                <w:rFonts w:cs="Arial"/>
                <w:sz w:val="20"/>
                <w:szCs w:val="20"/>
              </w:rPr>
            </w:pPr>
            <w:r w:rsidRPr="00DD3825">
              <w:rPr>
                <w:rFonts w:cs="Arial"/>
                <w:sz w:val="20"/>
                <w:szCs w:val="20"/>
              </w:rPr>
              <w:t>One</w:t>
            </w:r>
          </w:p>
        </w:tc>
        <w:tc>
          <w:tcPr>
            <w:tcW w:w="1461" w:type="dxa"/>
            <w:shd w:val="pct5" w:color="000000" w:fill="FFFFFF"/>
            <w:vAlign w:val="bottom"/>
          </w:tcPr>
          <w:p w:rsidR="009037F0" w:rsidRPr="00DD3825" w:rsidRDefault="009037F0" w:rsidP="001E4C31">
            <w:pPr>
              <w:keepNext/>
              <w:spacing w:before="40" w:after="40"/>
              <w:jc w:val="center"/>
              <w:rPr>
                <w:rFonts w:cs="Arial"/>
                <w:sz w:val="20"/>
                <w:szCs w:val="20"/>
              </w:rPr>
            </w:pPr>
            <w:r w:rsidRPr="00DD3825">
              <w:rPr>
                <w:rFonts w:cs="Arial"/>
                <w:sz w:val="20"/>
                <w:szCs w:val="20"/>
              </w:rPr>
              <w:t>TBD</w:t>
            </w:r>
          </w:p>
        </w:tc>
        <w:tc>
          <w:tcPr>
            <w:tcW w:w="1399" w:type="dxa"/>
            <w:shd w:val="pct5" w:color="000000" w:fill="FFFFFF"/>
            <w:vAlign w:val="bottom"/>
          </w:tcPr>
          <w:p w:rsidR="009037F0" w:rsidRPr="00DD3825" w:rsidRDefault="00A657F1" w:rsidP="001E4C31">
            <w:pPr>
              <w:keepNext/>
              <w:spacing w:before="40" w:after="40"/>
              <w:jc w:val="center"/>
              <w:rPr>
                <w:rFonts w:cs="Arial"/>
                <w:sz w:val="20"/>
                <w:szCs w:val="20"/>
              </w:rPr>
            </w:pPr>
            <w:r w:rsidRPr="00DD3825">
              <w:rPr>
                <w:rFonts w:cs="Arial"/>
                <w:sz w:val="20"/>
                <w:szCs w:val="20"/>
              </w:rPr>
              <w:t>TBD</w:t>
            </w:r>
          </w:p>
        </w:tc>
        <w:tc>
          <w:tcPr>
            <w:tcW w:w="1473" w:type="dxa"/>
            <w:shd w:val="pct5" w:color="000000" w:fill="FFFFFF"/>
            <w:vAlign w:val="bottom"/>
          </w:tcPr>
          <w:p w:rsidR="009037F0" w:rsidRPr="00DD3825" w:rsidRDefault="00A657F1" w:rsidP="001E4C31">
            <w:pPr>
              <w:keepNext/>
              <w:spacing w:before="40" w:after="40"/>
              <w:jc w:val="center"/>
              <w:rPr>
                <w:rFonts w:cs="Arial"/>
                <w:sz w:val="20"/>
                <w:szCs w:val="20"/>
              </w:rPr>
            </w:pPr>
            <w:r w:rsidRPr="00DD3825">
              <w:rPr>
                <w:rFonts w:cs="Arial"/>
                <w:sz w:val="20"/>
                <w:szCs w:val="20"/>
              </w:rPr>
              <w:t>TBD</w:t>
            </w:r>
          </w:p>
        </w:tc>
        <w:tc>
          <w:tcPr>
            <w:tcW w:w="1736" w:type="dxa"/>
            <w:shd w:val="pct5" w:color="000000" w:fill="FFFFFF"/>
            <w:vAlign w:val="bottom"/>
          </w:tcPr>
          <w:p w:rsidR="009037F0" w:rsidRPr="00DD3825" w:rsidRDefault="007D3BD3" w:rsidP="001E4C31">
            <w:pPr>
              <w:keepNext/>
              <w:jc w:val="center"/>
              <w:rPr>
                <w:rFonts w:cs="Arial"/>
                <w:sz w:val="20"/>
                <w:szCs w:val="20"/>
              </w:rPr>
            </w:pPr>
            <w:r w:rsidRPr="00DD3825">
              <w:rPr>
                <w:rFonts w:cs="Arial"/>
                <w:i/>
                <w:sz w:val="20"/>
                <w:szCs w:val="20"/>
              </w:rPr>
              <w:t>Section 1.4.1</w:t>
            </w:r>
          </w:p>
        </w:tc>
      </w:tr>
      <w:tr w:rsidR="009037F0" w:rsidRPr="00DD3825" w:rsidTr="001E4C31">
        <w:tc>
          <w:tcPr>
            <w:tcW w:w="1772" w:type="dxa"/>
            <w:shd w:val="pct20" w:color="000000" w:fill="FFFFFF"/>
            <w:vAlign w:val="bottom"/>
          </w:tcPr>
          <w:p w:rsidR="009037F0" w:rsidRPr="00DD3825" w:rsidRDefault="009037F0" w:rsidP="001E4C31">
            <w:pPr>
              <w:keepNext/>
              <w:jc w:val="center"/>
              <w:rPr>
                <w:rFonts w:cs="Arial"/>
                <w:b/>
                <w:sz w:val="20"/>
                <w:szCs w:val="20"/>
              </w:rPr>
            </w:pPr>
            <w:r w:rsidRPr="00DD3825">
              <w:rPr>
                <w:rFonts w:cs="Arial"/>
                <w:b/>
                <w:sz w:val="20"/>
                <w:szCs w:val="20"/>
              </w:rPr>
              <w:t>ISR</w:t>
            </w:r>
          </w:p>
        </w:tc>
        <w:tc>
          <w:tcPr>
            <w:tcW w:w="1735" w:type="dxa"/>
            <w:shd w:val="pct20" w:color="000000" w:fill="FFFFFF"/>
            <w:vAlign w:val="bottom"/>
          </w:tcPr>
          <w:p w:rsidR="009037F0" w:rsidRPr="00DD3825" w:rsidRDefault="009037F0" w:rsidP="001E4C31">
            <w:pPr>
              <w:keepNext/>
              <w:jc w:val="center"/>
              <w:rPr>
                <w:rFonts w:cs="Arial"/>
                <w:sz w:val="20"/>
                <w:szCs w:val="20"/>
              </w:rPr>
            </w:pPr>
            <w:r w:rsidRPr="00DD3825">
              <w:rPr>
                <w:rFonts w:cs="Arial"/>
                <w:sz w:val="20"/>
                <w:szCs w:val="20"/>
              </w:rPr>
              <w:t xml:space="preserve">Yes </w:t>
            </w:r>
          </w:p>
        </w:tc>
        <w:tc>
          <w:tcPr>
            <w:tcW w:w="1461" w:type="dxa"/>
            <w:shd w:val="pct20" w:color="000000" w:fill="FFFFFF"/>
            <w:vAlign w:val="bottom"/>
          </w:tcPr>
          <w:p w:rsidR="009037F0" w:rsidRPr="00DD3825" w:rsidRDefault="009037F0" w:rsidP="001E4C31">
            <w:pPr>
              <w:keepNext/>
              <w:jc w:val="center"/>
              <w:rPr>
                <w:rFonts w:cs="Arial"/>
                <w:sz w:val="20"/>
                <w:szCs w:val="20"/>
              </w:rPr>
            </w:pPr>
            <w:r w:rsidRPr="00DD3825">
              <w:rPr>
                <w:rFonts w:cs="Arial"/>
                <w:sz w:val="20"/>
                <w:szCs w:val="20"/>
              </w:rPr>
              <w:t>1</w:t>
            </w:r>
          </w:p>
        </w:tc>
        <w:tc>
          <w:tcPr>
            <w:tcW w:w="1399" w:type="dxa"/>
            <w:shd w:val="pct20" w:color="000000" w:fill="FFFFFF"/>
            <w:vAlign w:val="bottom"/>
          </w:tcPr>
          <w:p w:rsidR="009037F0" w:rsidRPr="00DD3825" w:rsidRDefault="00A657F1" w:rsidP="001E4C31">
            <w:pPr>
              <w:keepNext/>
              <w:jc w:val="center"/>
              <w:rPr>
                <w:rFonts w:cs="Arial"/>
                <w:sz w:val="20"/>
                <w:szCs w:val="20"/>
              </w:rPr>
            </w:pPr>
            <w:r w:rsidRPr="00DD3825">
              <w:rPr>
                <w:rFonts w:cs="Arial"/>
                <w:sz w:val="20"/>
                <w:szCs w:val="20"/>
              </w:rPr>
              <w:t>1</w:t>
            </w:r>
          </w:p>
        </w:tc>
        <w:tc>
          <w:tcPr>
            <w:tcW w:w="1473" w:type="dxa"/>
            <w:shd w:val="pct20" w:color="000000" w:fill="FFFFFF"/>
            <w:vAlign w:val="bottom"/>
          </w:tcPr>
          <w:p w:rsidR="009037F0" w:rsidRPr="00DD3825" w:rsidRDefault="00A657F1" w:rsidP="001E4C31">
            <w:pPr>
              <w:keepNext/>
              <w:jc w:val="center"/>
              <w:rPr>
                <w:rFonts w:cs="Arial"/>
                <w:sz w:val="20"/>
                <w:szCs w:val="20"/>
              </w:rPr>
            </w:pPr>
            <w:r w:rsidRPr="00DD3825">
              <w:rPr>
                <w:rFonts w:cs="Arial"/>
                <w:sz w:val="20"/>
                <w:szCs w:val="20"/>
              </w:rPr>
              <w:t>1</w:t>
            </w:r>
          </w:p>
        </w:tc>
        <w:tc>
          <w:tcPr>
            <w:tcW w:w="1736" w:type="dxa"/>
            <w:shd w:val="pct20" w:color="000000" w:fill="FFFFFF"/>
            <w:vAlign w:val="bottom"/>
          </w:tcPr>
          <w:p w:rsidR="009037F0" w:rsidRPr="00DD3825" w:rsidRDefault="007D3BD3" w:rsidP="001E4C31">
            <w:pPr>
              <w:keepNext/>
              <w:jc w:val="center"/>
              <w:rPr>
                <w:rFonts w:cs="Arial"/>
                <w:sz w:val="20"/>
                <w:szCs w:val="20"/>
              </w:rPr>
            </w:pPr>
            <w:r w:rsidRPr="00DD3825">
              <w:rPr>
                <w:rFonts w:cs="Arial"/>
                <w:i/>
                <w:sz w:val="20"/>
                <w:szCs w:val="20"/>
              </w:rPr>
              <w:t>Section 1.4.1</w:t>
            </w:r>
          </w:p>
        </w:tc>
      </w:tr>
      <w:tr w:rsidR="009037F0" w:rsidRPr="00DD3825" w:rsidTr="001E4C31">
        <w:tc>
          <w:tcPr>
            <w:tcW w:w="1772" w:type="dxa"/>
            <w:shd w:val="pct5" w:color="000000" w:fill="FFFFFF"/>
            <w:vAlign w:val="bottom"/>
          </w:tcPr>
          <w:p w:rsidR="009037F0" w:rsidRPr="00DD3825" w:rsidRDefault="009037F0" w:rsidP="001E4C31">
            <w:pPr>
              <w:jc w:val="center"/>
              <w:rPr>
                <w:rFonts w:cs="Arial"/>
                <w:b/>
                <w:sz w:val="20"/>
                <w:szCs w:val="20"/>
              </w:rPr>
            </w:pPr>
            <w:r w:rsidRPr="00DD3825">
              <w:rPr>
                <w:rFonts w:cs="Arial"/>
                <w:b/>
                <w:sz w:val="20"/>
                <w:szCs w:val="20"/>
              </w:rPr>
              <w:t>TOU Factor</w:t>
            </w:r>
          </w:p>
        </w:tc>
        <w:tc>
          <w:tcPr>
            <w:tcW w:w="1735" w:type="dxa"/>
            <w:shd w:val="pct5" w:color="000000" w:fill="FFFFFF"/>
            <w:vAlign w:val="bottom"/>
          </w:tcPr>
          <w:p w:rsidR="009037F0" w:rsidRPr="00DD3825" w:rsidRDefault="00A657F1" w:rsidP="001E4C31">
            <w:pPr>
              <w:jc w:val="center"/>
              <w:rPr>
                <w:rFonts w:cs="Arial"/>
                <w:sz w:val="20"/>
                <w:szCs w:val="20"/>
              </w:rPr>
            </w:pPr>
            <w:r w:rsidRPr="00DD3825">
              <w:rPr>
                <w:rFonts w:cs="Arial"/>
                <w:sz w:val="20"/>
                <w:szCs w:val="20"/>
              </w:rPr>
              <w:t>One</w:t>
            </w:r>
          </w:p>
        </w:tc>
        <w:tc>
          <w:tcPr>
            <w:tcW w:w="1461" w:type="dxa"/>
            <w:shd w:val="pct5" w:color="000000" w:fill="FFFFFF"/>
            <w:vAlign w:val="bottom"/>
          </w:tcPr>
          <w:p w:rsidR="009037F0" w:rsidRPr="00DD3825" w:rsidRDefault="00974A35" w:rsidP="001E4C31">
            <w:pPr>
              <w:jc w:val="center"/>
              <w:rPr>
                <w:rFonts w:cs="Arial"/>
                <w:sz w:val="20"/>
                <w:szCs w:val="20"/>
              </w:rPr>
            </w:pPr>
            <w:r w:rsidRPr="00DD3825">
              <w:rPr>
                <w:rFonts w:cs="Arial"/>
                <w:sz w:val="20"/>
                <w:szCs w:val="20"/>
              </w:rPr>
              <w:t>0</w:t>
            </w:r>
          </w:p>
        </w:tc>
        <w:tc>
          <w:tcPr>
            <w:tcW w:w="1399" w:type="dxa"/>
            <w:shd w:val="pct5" w:color="000000" w:fill="FFFFFF"/>
            <w:vAlign w:val="bottom"/>
          </w:tcPr>
          <w:p w:rsidR="009037F0" w:rsidRPr="00DD3825" w:rsidRDefault="00974A35" w:rsidP="001E4C31">
            <w:pPr>
              <w:jc w:val="center"/>
              <w:rPr>
                <w:rFonts w:cs="Arial"/>
                <w:sz w:val="20"/>
                <w:szCs w:val="20"/>
              </w:rPr>
            </w:pPr>
            <w:r w:rsidRPr="00DD3825">
              <w:rPr>
                <w:rFonts w:cs="Arial"/>
                <w:sz w:val="20"/>
                <w:szCs w:val="20"/>
              </w:rPr>
              <w:t>0</w:t>
            </w:r>
          </w:p>
        </w:tc>
        <w:tc>
          <w:tcPr>
            <w:tcW w:w="1473" w:type="dxa"/>
            <w:shd w:val="pct5" w:color="000000" w:fill="FFFFFF"/>
            <w:vAlign w:val="bottom"/>
          </w:tcPr>
          <w:p w:rsidR="009037F0" w:rsidRPr="00DD3825" w:rsidRDefault="00974A35" w:rsidP="001E4C31">
            <w:pPr>
              <w:jc w:val="center"/>
              <w:rPr>
                <w:rFonts w:cs="Arial"/>
                <w:sz w:val="20"/>
                <w:szCs w:val="20"/>
              </w:rPr>
            </w:pPr>
            <w:r w:rsidRPr="00DD3825">
              <w:rPr>
                <w:rFonts w:cs="Arial"/>
                <w:sz w:val="20"/>
                <w:szCs w:val="20"/>
              </w:rPr>
              <w:t>0</w:t>
            </w:r>
          </w:p>
        </w:tc>
        <w:tc>
          <w:tcPr>
            <w:tcW w:w="1736" w:type="dxa"/>
            <w:shd w:val="pct5" w:color="000000" w:fill="FFFFFF"/>
            <w:vAlign w:val="bottom"/>
          </w:tcPr>
          <w:p w:rsidR="009037F0" w:rsidRPr="00DD3825" w:rsidRDefault="009037F0" w:rsidP="001E4C31">
            <w:pPr>
              <w:jc w:val="center"/>
              <w:rPr>
                <w:rFonts w:cs="Arial"/>
                <w:i/>
                <w:sz w:val="20"/>
                <w:szCs w:val="20"/>
              </w:rPr>
            </w:pPr>
            <w:r w:rsidRPr="00DD3825">
              <w:rPr>
                <w:rFonts w:cs="Arial"/>
                <w:i/>
                <w:sz w:val="20"/>
                <w:szCs w:val="20"/>
              </w:rPr>
              <w:t>Section 1.4.5</w:t>
            </w:r>
          </w:p>
        </w:tc>
      </w:tr>
    </w:tbl>
    <w:p w:rsidR="00C069A2" w:rsidRPr="00DD3825" w:rsidRDefault="001A3026" w:rsidP="00C41E61">
      <w:pPr>
        <w:pStyle w:val="Heading1"/>
      </w:pPr>
      <w:r w:rsidRPr="00DD3825">
        <w:rPr>
          <w:sz w:val="20"/>
          <w:szCs w:val="20"/>
        </w:rPr>
        <w:br w:type="page"/>
      </w:r>
      <w:bookmarkStart w:id="96" w:name="_Toc304800210"/>
      <w:bookmarkStart w:id="97" w:name="_Toc324340489"/>
      <w:bookmarkStart w:id="98" w:name="_Toc386811722"/>
      <w:r w:rsidR="00CF3FF0" w:rsidRPr="00DD3825">
        <w:lastRenderedPageBreak/>
        <w:t xml:space="preserve">Section </w:t>
      </w:r>
      <w:r w:rsidR="00C069A2" w:rsidRPr="00DD3825">
        <w:t>2</w:t>
      </w:r>
      <w:r w:rsidR="003129E8" w:rsidRPr="00DD3825">
        <w:t>.</w:t>
      </w:r>
      <w:r w:rsidR="00C069A2" w:rsidRPr="00DD3825">
        <w:t xml:space="preserve"> Calculation Methods</w:t>
      </w:r>
      <w:bookmarkEnd w:id="96"/>
      <w:bookmarkEnd w:id="97"/>
      <w:bookmarkEnd w:id="98"/>
    </w:p>
    <w:p w:rsidR="00C51E28" w:rsidRPr="00DD3825" w:rsidRDefault="00C51E28" w:rsidP="00E044FE">
      <w:r w:rsidRPr="00DD3825">
        <w:t>Since this is an ER (early retirement) measure, the first baseline period uses the customer average baseline. The second baseline uses the code baseline. It is assumed that there are no above code savings since Title 24 2013 §120.1</w:t>
      </w:r>
      <w:r w:rsidRPr="00DD3825">
        <w:fldChar w:fldCharType="begin"/>
      </w:r>
      <w:r w:rsidRPr="00DD3825">
        <w:instrText xml:space="preserve"> NOTEREF _Ref384193100 \f \h </w:instrText>
      </w:r>
      <w:r w:rsidR="00DD3825">
        <w:instrText xml:space="preserve"> \* MERGEFORMAT </w:instrText>
      </w:r>
      <w:r w:rsidRPr="00DD3825">
        <w:fldChar w:fldCharType="separate"/>
      </w:r>
      <w:r w:rsidR="00B424F3" w:rsidRPr="00B424F3">
        <w:rPr>
          <w:rStyle w:val="EndnoteReference"/>
        </w:rPr>
        <w:t>1</w:t>
      </w:r>
      <w:r w:rsidRPr="00DD3825">
        <w:fldChar w:fldCharType="end"/>
      </w:r>
      <w:r w:rsidRPr="00DD3825">
        <w:t xml:space="preserve"> requires DCV for most space types in which it is beneficial. </w:t>
      </w:r>
      <w:r w:rsidRPr="00DD3825">
        <w:fldChar w:fldCharType="begin"/>
      </w:r>
      <w:r w:rsidRPr="00DD3825">
        <w:instrText xml:space="preserve"> REF _Ref384640643 \h </w:instrText>
      </w:r>
      <w:r w:rsidR="00DD3825">
        <w:instrText xml:space="preserve"> \* MERGEFORMAT </w:instrText>
      </w:r>
      <w:r w:rsidRPr="00DD3825">
        <w:fldChar w:fldCharType="separate"/>
      </w:r>
      <w:r w:rsidR="00B424F3" w:rsidRPr="00DD3825">
        <w:t xml:space="preserve">Table </w:t>
      </w:r>
      <w:r w:rsidR="00B424F3">
        <w:rPr>
          <w:noProof/>
        </w:rPr>
        <w:t>12</w:t>
      </w:r>
      <w:r w:rsidRPr="00DD3825">
        <w:fldChar w:fldCharType="end"/>
      </w:r>
      <w:r w:rsidRPr="00DD3825">
        <w:t xml:space="preserve"> compares the baselines used for the ER measure application types to other measure application types</w:t>
      </w:r>
      <w:r w:rsidR="00AD0E5C" w:rsidRPr="00DD3825">
        <w:t>.</w:t>
      </w:r>
    </w:p>
    <w:p w:rsidR="00AD0E5C" w:rsidRPr="00DD3825" w:rsidRDefault="00AD0E5C" w:rsidP="00E044FE"/>
    <w:p w:rsidR="00BC2A83" w:rsidRPr="00DD3825" w:rsidRDefault="00ED7D3D" w:rsidP="0007589E">
      <w:pPr>
        <w:pStyle w:val="Caption"/>
        <w:jc w:val="center"/>
        <w:rPr>
          <w:rFonts w:cs="Arial"/>
          <w:b w:val="0"/>
          <w:sz w:val="22"/>
          <w:szCs w:val="22"/>
        </w:rPr>
      </w:pPr>
      <w:bookmarkStart w:id="99" w:name="_Ref384640643"/>
      <w:bookmarkStart w:id="100" w:name="_Ref384640640"/>
      <w:bookmarkStart w:id="101" w:name="_Toc386811752"/>
      <w:r w:rsidRPr="00DD3825">
        <w:t xml:space="preserve">Table </w:t>
      </w:r>
      <w:r w:rsidR="00FF41C5">
        <w:fldChar w:fldCharType="begin"/>
      </w:r>
      <w:r w:rsidR="00FF41C5">
        <w:instrText xml:space="preserve"> SEQ Table \* ARABIC </w:instrText>
      </w:r>
      <w:r w:rsidR="00FF41C5">
        <w:fldChar w:fldCharType="separate"/>
      </w:r>
      <w:r w:rsidR="00B424F3">
        <w:rPr>
          <w:noProof/>
        </w:rPr>
        <w:t>12</w:t>
      </w:r>
      <w:r w:rsidR="00FF41C5">
        <w:rPr>
          <w:noProof/>
        </w:rPr>
        <w:fldChar w:fldCharType="end"/>
      </w:r>
      <w:bookmarkEnd w:id="99"/>
      <w:r w:rsidR="0007589E" w:rsidRPr="00DD3825">
        <w:t xml:space="preserve"> Baseline </w:t>
      </w:r>
      <w:r w:rsidRPr="00DD3825">
        <w:t>by Measure Application Type</w:t>
      </w:r>
      <w:bookmarkEnd w:id="100"/>
      <w:bookmarkEnd w:id="101"/>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DD3825" w:rsidTr="00ED7D3D">
        <w:trPr>
          <w:trHeight w:val="927"/>
        </w:trPr>
        <w:tc>
          <w:tcPr>
            <w:tcW w:w="2808" w:type="dxa"/>
            <w:shd w:val="clear" w:color="auto" w:fill="262626"/>
            <w:vAlign w:val="bottom"/>
          </w:tcPr>
          <w:p w:rsidR="00673682" w:rsidRPr="00DD3825" w:rsidRDefault="003541A6" w:rsidP="001E4C31">
            <w:pPr>
              <w:pStyle w:val="Heading2"/>
              <w:keepLines/>
              <w:jc w:val="center"/>
              <w:rPr>
                <w:rStyle w:val="Strong"/>
                <w:b/>
                <w:bCs/>
                <w:i w:val="0"/>
              </w:rPr>
            </w:pPr>
            <w:bookmarkStart w:id="102" w:name="_Toc324340490"/>
            <w:bookmarkStart w:id="103" w:name="_Toc386811723"/>
            <w:r w:rsidRPr="00DD3825">
              <w:rPr>
                <w:rStyle w:val="Strong"/>
                <w:b/>
                <w:bCs/>
                <w:i w:val="0"/>
              </w:rPr>
              <w:t xml:space="preserve">Measure Application </w:t>
            </w:r>
            <w:r w:rsidR="00673682" w:rsidRPr="00DD3825">
              <w:rPr>
                <w:rStyle w:val="Strong"/>
                <w:b/>
                <w:bCs/>
                <w:i w:val="0"/>
              </w:rPr>
              <w:t>Type</w:t>
            </w:r>
            <w:bookmarkEnd w:id="102"/>
            <w:bookmarkEnd w:id="103"/>
          </w:p>
        </w:tc>
        <w:tc>
          <w:tcPr>
            <w:tcW w:w="1710" w:type="dxa"/>
            <w:shd w:val="clear" w:color="auto" w:fill="262626"/>
            <w:vAlign w:val="bottom"/>
          </w:tcPr>
          <w:p w:rsidR="00673682" w:rsidRPr="00DD3825" w:rsidRDefault="00673682" w:rsidP="001E4C31">
            <w:pPr>
              <w:pStyle w:val="Heading2"/>
              <w:keepLines/>
              <w:jc w:val="center"/>
              <w:rPr>
                <w:rStyle w:val="Strong"/>
                <w:b/>
                <w:bCs/>
                <w:i w:val="0"/>
              </w:rPr>
            </w:pPr>
            <w:bookmarkStart w:id="104" w:name="_Toc324340491"/>
            <w:bookmarkStart w:id="105" w:name="_Toc386811724"/>
            <w:r w:rsidRPr="00DD3825">
              <w:rPr>
                <w:rStyle w:val="Strong"/>
                <w:b/>
                <w:bCs/>
                <w:i w:val="0"/>
              </w:rPr>
              <w:t>Measure Life Basis</w:t>
            </w:r>
            <w:bookmarkEnd w:id="104"/>
            <w:bookmarkEnd w:id="105"/>
          </w:p>
        </w:tc>
        <w:tc>
          <w:tcPr>
            <w:tcW w:w="2790" w:type="dxa"/>
            <w:shd w:val="clear" w:color="auto" w:fill="262626"/>
            <w:vAlign w:val="bottom"/>
          </w:tcPr>
          <w:p w:rsidR="00673682" w:rsidRPr="00DD3825" w:rsidRDefault="00673682" w:rsidP="001E4C31">
            <w:pPr>
              <w:pStyle w:val="Heading2"/>
              <w:keepLines/>
              <w:jc w:val="center"/>
              <w:rPr>
                <w:rStyle w:val="Strong"/>
                <w:b/>
                <w:bCs/>
                <w:i w:val="0"/>
              </w:rPr>
            </w:pPr>
            <w:bookmarkStart w:id="106" w:name="_Toc324340492"/>
            <w:bookmarkStart w:id="107" w:name="_Toc386811725"/>
            <w:r w:rsidRPr="00DD3825">
              <w:rPr>
                <w:rStyle w:val="Strong"/>
                <w:b/>
                <w:bCs/>
                <w:i w:val="0"/>
              </w:rPr>
              <w:t>First Baseline Period: Energy Savings Baseline</w:t>
            </w:r>
            <w:bookmarkEnd w:id="106"/>
            <w:bookmarkEnd w:id="107"/>
          </w:p>
        </w:tc>
        <w:tc>
          <w:tcPr>
            <w:tcW w:w="2268" w:type="dxa"/>
            <w:shd w:val="clear" w:color="auto" w:fill="262626"/>
            <w:vAlign w:val="bottom"/>
          </w:tcPr>
          <w:p w:rsidR="00673682" w:rsidRPr="00DD3825" w:rsidRDefault="00673682" w:rsidP="001E4C31">
            <w:pPr>
              <w:pStyle w:val="Heading2"/>
              <w:keepLines/>
              <w:jc w:val="center"/>
              <w:rPr>
                <w:rStyle w:val="Strong"/>
                <w:b/>
                <w:bCs/>
                <w:i w:val="0"/>
              </w:rPr>
            </w:pPr>
            <w:bookmarkStart w:id="108" w:name="_Toc324340493"/>
            <w:bookmarkStart w:id="109" w:name="_Toc386811726"/>
            <w:r w:rsidRPr="00DD3825">
              <w:rPr>
                <w:rStyle w:val="Strong"/>
                <w:b/>
                <w:bCs/>
                <w:i w:val="0"/>
              </w:rPr>
              <w:t>Second Baseline Period: Energy Savings Baseline</w:t>
            </w:r>
            <w:bookmarkEnd w:id="108"/>
            <w:bookmarkEnd w:id="109"/>
          </w:p>
        </w:tc>
      </w:tr>
      <w:tr w:rsidR="009B1863" w:rsidRPr="00DD3825" w:rsidTr="00C74F44">
        <w:tc>
          <w:tcPr>
            <w:tcW w:w="2808" w:type="dxa"/>
            <w:shd w:val="pct5" w:color="000000" w:fill="FFFFFF"/>
            <w:vAlign w:val="bottom"/>
          </w:tcPr>
          <w:p w:rsidR="00645027" w:rsidRPr="00DD3825" w:rsidRDefault="000B0BE7" w:rsidP="00EA38B4">
            <w:pPr>
              <w:spacing w:before="120" w:after="120"/>
              <w:jc w:val="center"/>
              <w:rPr>
                <w:rStyle w:val="Strong"/>
                <w:b w:val="0"/>
              </w:rPr>
            </w:pPr>
            <w:r w:rsidRPr="00DD3825">
              <w:t>REA (retrofit add-on)</w:t>
            </w:r>
          </w:p>
        </w:tc>
        <w:tc>
          <w:tcPr>
            <w:tcW w:w="1710" w:type="dxa"/>
            <w:shd w:val="pct5" w:color="000000" w:fill="FFFFFF"/>
            <w:vAlign w:val="bottom"/>
          </w:tcPr>
          <w:p w:rsidR="00645027" w:rsidRPr="00DD3825" w:rsidRDefault="00645027" w:rsidP="001E4C31">
            <w:pPr>
              <w:spacing w:before="120" w:after="120"/>
              <w:jc w:val="center"/>
              <w:rPr>
                <w:rStyle w:val="Strong"/>
                <w:b w:val="0"/>
              </w:rPr>
            </w:pPr>
            <w:bookmarkStart w:id="110" w:name="_Toc324318350"/>
            <w:r w:rsidRPr="00DD3825">
              <w:rPr>
                <w:rStyle w:val="Strong"/>
                <w:b w:val="0"/>
              </w:rPr>
              <w:t>EUL</w:t>
            </w:r>
            <w:bookmarkEnd w:id="110"/>
          </w:p>
        </w:tc>
        <w:tc>
          <w:tcPr>
            <w:tcW w:w="2790" w:type="dxa"/>
            <w:shd w:val="pct5" w:color="000000" w:fill="FFFFFF"/>
            <w:vAlign w:val="bottom"/>
          </w:tcPr>
          <w:p w:rsidR="00645027" w:rsidRPr="00DD3825" w:rsidRDefault="00EA38B4" w:rsidP="001E4C31">
            <w:pPr>
              <w:spacing w:before="120" w:after="120"/>
              <w:jc w:val="center"/>
              <w:rPr>
                <w:sz w:val="20"/>
                <w:szCs w:val="20"/>
              </w:rPr>
            </w:pPr>
            <w:r w:rsidRPr="00DD3825">
              <w:rPr>
                <w:sz w:val="20"/>
                <w:szCs w:val="20"/>
              </w:rPr>
              <w:t>Customer Average Baseline</w:t>
            </w:r>
          </w:p>
        </w:tc>
        <w:tc>
          <w:tcPr>
            <w:tcW w:w="2268" w:type="dxa"/>
            <w:shd w:val="pct5" w:color="000000" w:fill="FFFFFF"/>
            <w:vAlign w:val="bottom"/>
          </w:tcPr>
          <w:p w:rsidR="00645027" w:rsidRPr="00DD3825" w:rsidRDefault="00EA38B4" w:rsidP="001E4C31">
            <w:pPr>
              <w:spacing w:before="120" w:after="120"/>
              <w:jc w:val="center"/>
              <w:rPr>
                <w:sz w:val="20"/>
                <w:szCs w:val="20"/>
              </w:rPr>
            </w:pPr>
            <w:r w:rsidRPr="00DD3825">
              <w:rPr>
                <w:sz w:val="20"/>
                <w:szCs w:val="20"/>
              </w:rPr>
              <w:t>Code Baseline</w:t>
            </w:r>
          </w:p>
        </w:tc>
      </w:tr>
    </w:tbl>
    <w:p w:rsidR="007F2147" w:rsidRPr="00DD3825" w:rsidRDefault="007F2147" w:rsidP="009B1863">
      <w:pPr>
        <w:rPr>
          <w:rFonts w:cs="Arial"/>
          <w:sz w:val="20"/>
          <w:szCs w:val="20"/>
        </w:rPr>
      </w:pPr>
      <w:bookmarkStart w:id="111" w:name="_Toc304800211"/>
      <w:bookmarkStart w:id="112" w:name="_Toc324318365"/>
      <w:bookmarkStart w:id="113" w:name="_Toc324340494"/>
      <w:r w:rsidRPr="00DD3825">
        <w:rPr>
          <w:rFonts w:cs="Arial"/>
          <w:sz w:val="20"/>
          <w:szCs w:val="20"/>
        </w:rPr>
        <w:t xml:space="preserve">Notes: </w:t>
      </w:r>
    </w:p>
    <w:p w:rsidR="009B1863" w:rsidRPr="00DD3825" w:rsidRDefault="00916468" w:rsidP="007F2147">
      <w:pPr>
        <w:numPr>
          <w:ilvl w:val="0"/>
          <w:numId w:val="19"/>
        </w:numPr>
        <w:rPr>
          <w:rFonts w:cs="Arial"/>
          <w:sz w:val="20"/>
          <w:szCs w:val="20"/>
        </w:rPr>
      </w:pPr>
      <w:r w:rsidRPr="00DD3825">
        <w:rPr>
          <w:rFonts w:cs="Arial"/>
          <w:sz w:val="20"/>
          <w:szCs w:val="20"/>
        </w:rPr>
        <w:t>For ROB measures, First Baseline is the baseline for the full EUL.</w:t>
      </w:r>
      <w:r w:rsidR="007F2147" w:rsidRPr="00DD3825">
        <w:rPr>
          <w:rFonts w:cs="Arial"/>
          <w:sz w:val="20"/>
          <w:szCs w:val="20"/>
        </w:rPr>
        <w:t xml:space="preserve"> There is no second baseline.</w:t>
      </w:r>
    </w:p>
    <w:p w:rsidR="00916468" w:rsidRPr="00DD3825" w:rsidRDefault="00916468" w:rsidP="007F2147">
      <w:pPr>
        <w:numPr>
          <w:ilvl w:val="0"/>
          <w:numId w:val="19"/>
        </w:numPr>
        <w:rPr>
          <w:rFonts w:cs="Arial"/>
          <w:sz w:val="20"/>
          <w:szCs w:val="20"/>
        </w:rPr>
      </w:pPr>
      <w:r w:rsidRPr="00DD3825">
        <w:rPr>
          <w:rFonts w:cs="Arial"/>
          <w:sz w:val="20"/>
          <w:szCs w:val="20"/>
        </w:rPr>
        <w:t xml:space="preserve">For ER measures, First Baseline </w:t>
      </w:r>
      <w:r w:rsidR="00EA38B4" w:rsidRPr="00DD3825">
        <w:rPr>
          <w:rFonts w:cs="Arial"/>
          <w:sz w:val="20"/>
          <w:szCs w:val="20"/>
        </w:rPr>
        <w:t>Period is the period</w:t>
      </w:r>
      <w:r w:rsidRPr="00DD3825">
        <w:rPr>
          <w:rFonts w:cs="Arial"/>
          <w:sz w:val="20"/>
          <w:szCs w:val="20"/>
        </w:rPr>
        <w:t xml:space="preserve"> for the RUL</w:t>
      </w:r>
      <w:r w:rsidR="007F2147" w:rsidRPr="00DD3825">
        <w:rPr>
          <w:rFonts w:cs="Arial"/>
          <w:sz w:val="20"/>
          <w:szCs w:val="20"/>
        </w:rPr>
        <w:t>(remaining useful life)</w:t>
      </w:r>
      <w:r w:rsidRPr="00DD3825">
        <w:rPr>
          <w:rFonts w:cs="Arial"/>
          <w:sz w:val="20"/>
          <w:szCs w:val="20"/>
        </w:rPr>
        <w:t>,</w:t>
      </w:r>
      <w:r w:rsidR="007F2147" w:rsidRPr="00DD3825">
        <w:rPr>
          <w:rFonts w:cs="Arial"/>
          <w:sz w:val="20"/>
          <w:szCs w:val="20"/>
        </w:rPr>
        <w:t xml:space="preserve">defined by </w:t>
      </w:r>
      <w:r w:rsidR="00EA38B4" w:rsidRPr="00DD3825">
        <w:rPr>
          <w:rFonts w:cs="Arial"/>
          <w:sz w:val="20"/>
          <w:szCs w:val="20"/>
        </w:rPr>
        <w:t xml:space="preserve">the </w:t>
      </w:r>
      <w:r w:rsidR="007F2147" w:rsidRPr="00DD3825">
        <w:rPr>
          <w:rFonts w:cs="Arial"/>
          <w:sz w:val="20"/>
          <w:szCs w:val="20"/>
        </w:rPr>
        <w:t>CPUC as</w:t>
      </w:r>
      <w:r w:rsidR="00437BE1" w:rsidRPr="00DD3825">
        <w:rPr>
          <w:rFonts w:cs="Arial"/>
          <w:sz w:val="20"/>
          <w:szCs w:val="20"/>
        </w:rPr>
        <w:t xml:space="preserve"> </w:t>
      </w:r>
      <w:r w:rsidRPr="00DD3825">
        <w:rPr>
          <w:rFonts w:cs="Arial"/>
          <w:sz w:val="20"/>
          <w:szCs w:val="20"/>
        </w:rPr>
        <w:t>RUL=1/3</w:t>
      </w:r>
      <w:r w:rsidR="007F2147" w:rsidRPr="00DD3825">
        <w:rPr>
          <w:rFonts w:cs="Arial"/>
          <w:sz w:val="20"/>
          <w:szCs w:val="20"/>
        </w:rPr>
        <w:t xml:space="preserve"> </w:t>
      </w:r>
      <w:r w:rsidRPr="00DD3825">
        <w:rPr>
          <w:rFonts w:cs="Arial"/>
          <w:sz w:val="20"/>
          <w:szCs w:val="20"/>
        </w:rPr>
        <w:t>EUL.</w:t>
      </w:r>
      <w:r w:rsidR="005F3E96" w:rsidRPr="00DD3825">
        <w:rPr>
          <w:rFonts w:cs="Arial"/>
          <w:sz w:val="20"/>
          <w:szCs w:val="20"/>
        </w:rPr>
        <w:t xml:space="preserve"> </w:t>
      </w:r>
      <w:r w:rsidRPr="00DD3825">
        <w:rPr>
          <w:rFonts w:cs="Arial"/>
          <w:sz w:val="20"/>
          <w:szCs w:val="20"/>
        </w:rPr>
        <w:t>Second baseline</w:t>
      </w:r>
      <w:r w:rsidR="00EA38B4" w:rsidRPr="00DD3825">
        <w:rPr>
          <w:rFonts w:cs="Arial"/>
          <w:sz w:val="20"/>
          <w:szCs w:val="20"/>
        </w:rPr>
        <w:t xml:space="preserve"> period</w:t>
      </w:r>
      <w:r w:rsidRPr="00DD3825">
        <w:rPr>
          <w:rFonts w:cs="Arial"/>
          <w:sz w:val="20"/>
          <w:szCs w:val="20"/>
        </w:rPr>
        <w:t xml:space="preserve"> for ER i</w:t>
      </w:r>
      <w:r w:rsidR="005F3E96" w:rsidRPr="00DD3825">
        <w:rPr>
          <w:rFonts w:cs="Arial"/>
          <w:sz w:val="20"/>
          <w:szCs w:val="20"/>
        </w:rPr>
        <w:t>s Code baseline for the period EUL-RUL.</w:t>
      </w:r>
    </w:p>
    <w:p w:rsidR="00AD0E5C" w:rsidRPr="00DD3825" w:rsidRDefault="00AD0E5C" w:rsidP="00E044FE"/>
    <w:p w:rsidR="00C069A2" w:rsidRPr="00DD3825" w:rsidRDefault="00C069A2" w:rsidP="00D20486">
      <w:pPr>
        <w:pStyle w:val="Heading2"/>
      </w:pPr>
      <w:bookmarkStart w:id="114" w:name="_Toc386811727"/>
      <w:r w:rsidRPr="00DD3825">
        <w:t xml:space="preserve">2.1 </w:t>
      </w:r>
      <w:r w:rsidR="007878B9" w:rsidRPr="00DD3825">
        <w:t xml:space="preserve">Electric </w:t>
      </w:r>
      <w:r w:rsidRPr="00DD3825">
        <w:t>Energy Savings Estimation Methodologies</w:t>
      </w:r>
      <w:bookmarkEnd w:id="111"/>
      <w:bookmarkEnd w:id="112"/>
      <w:bookmarkEnd w:id="113"/>
      <w:bookmarkEnd w:id="114"/>
    </w:p>
    <w:p w:rsidR="00A95746" w:rsidRPr="00DD3825" w:rsidRDefault="00A95746" w:rsidP="00AB675E">
      <w:r w:rsidRPr="00DD3825">
        <w:t xml:space="preserve">As an Early Retirement Measure, there are two mandated baselines as defined earlier in this workpaper. </w:t>
      </w:r>
      <w:r w:rsidR="002F564A" w:rsidRPr="00DD3825">
        <w:t xml:space="preserve">Since there are no above code energy savings for most applications, the second baseline savings are set to zero. </w:t>
      </w:r>
      <w:r w:rsidRPr="00DD3825">
        <w:t xml:space="preserve">The </w:t>
      </w:r>
      <w:r w:rsidR="00E8374A" w:rsidRPr="00DD3825">
        <w:t xml:space="preserve">electric energy </w:t>
      </w:r>
      <w:r w:rsidRPr="00DD3825">
        <w:t xml:space="preserve">savings from </w:t>
      </w:r>
      <w:r w:rsidR="00F96C5C" w:rsidRPr="00DD3825">
        <w:t xml:space="preserve">the first baseline </w:t>
      </w:r>
      <w:r w:rsidRPr="00DD3825">
        <w:t xml:space="preserve">are represented in the calculations below. </w:t>
      </w:r>
    </w:p>
    <w:p w:rsidR="004967A2" w:rsidRPr="00DD3825" w:rsidRDefault="004967A2" w:rsidP="00126A4E">
      <w:pPr>
        <w:rPr>
          <w:rFonts w:cs="Arial"/>
          <w:i/>
          <w:sz w:val="20"/>
          <w:szCs w:val="20"/>
        </w:rPr>
      </w:pPr>
    </w:p>
    <w:p w:rsidR="00C02519" w:rsidRPr="00DD3825" w:rsidRDefault="00C02519" w:rsidP="00126A4E">
      <w:pPr>
        <w:rPr>
          <w:rFonts w:cs="Arial"/>
          <w:i/>
          <w:sz w:val="24"/>
        </w:rPr>
      </w:pPr>
      <m:oMathPara>
        <m:oMathParaPr>
          <m:jc m:val="center"/>
        </m:oMathParaPr>
        <m:oMath>
          <m:r>
            <w:rPr>
              <w:rFonts w:ascii="Cambria Math" w:hAnsi="Cambria Math" w:cs="Arial"/>
              <w:sz w:val="24"/>
            </w:rPr>
            <m:t>kWh per ton savings=</m:t>
          </m:r>
          <m:f>
            <m:fPr>
              <m:ctrlPr>
                <w:rPr>
                  <w:rFonts w:ascii="Cambria Math" w:hAnsi="Cambria Math" w:cs="Arial"/>
                  <w:i/>
                  <w:sz w:val="24"/>
                </w:rPr>
              </m:ctrlPr>
            </m:fPr>
            <m:num>
              <m:r>
                <w:rPr>
                  <w:rFonts w:ascii="Cambria Math" w:hAnsi="Cambria Math" w:cs="Arial"/>
                  <w:sz w:val="24"/>
                </w:rPr>
                <m:t>baseline kWh-measure kWh</m:t>
              </m:r>
            </m:num>
            <m:den>
              <m:r>
                <w:rPr>
                  <w:rFonts w:ascii="Cambria Math" w:hAnsi="Cambria Math" w:cs="Arial"/>
                  <w:sz w:val="24"/>
                </w:rPr>
                <m:t>cooling tons</m:t>
              </m:r>
            </m:den>
          </m:f>
        </m:oMath>
      </m:oMathPara>
    </w:p>
    <w:p w:rsidR="00C02519" w:rsidRPr="00DD3825" w:rsidRDefault="00C02519" w:rsidP="00126A4E">
      <w:pPr>
        <w:rPr>
          <w:rFonts w:cs="Arial"/>
          <w:i/>
          <w:sz w:val="20"/>
          <w:szCs w:val="20"/>
        </w:rPr>
      </w:pPr>
      <w:r w:rsidRPr="00DD3825">
        <w:rPr>
          <w:rFonts w:cs="Arial"/>
          <w:i/>
          <w:sz w:val="20"/>
          <w:szCs w:val="20"/>
        </w:rPr>
        <w:t>Where:</w:t>
      </w:r>
    </w:p>
    <w:p w:rsidR="00C02519" w:rsidRPr="00DD3825" w:rsidRDefault="00C02519" w:rsidP="00126A4E">
      <w:pPr>
        <w:rPr>
          <w:rFonts w:cs="Arial"/>
          <w:i/>
          <w:sz w:val="20"/>
          <w:szCs w:val="20"/>
        </w:rPr>
      </w:pPr>
      <w:r w:rsidRPr="00DD3825">
        <w:rPr>
          <w:rFonts w:cs="Arial"/>
          <w:i/>
          <w:sz w:val="20"/>
          <w:szCs w:val="20"/>
        </w:rPr>
        <w:t>k</w:t>
      </w:r>
      <w:r w:rsidR="00E8374A" w:rsidRPr="00DD3825">
        <w:rPr>
          <w:rFonts w:cs="Arial"/>
          <w:i/>
          <w:sz w:val="20"/>
          <w:szCs w:val="20"/>
        </w:rPr>
        <w:t>Wh per ton savings = annual unit energy</w:t>
      </w:r>
      <w:r w:rsidRPr="00DD3825">
        <w:rPr>
          <w:rFonts w:cs="Arial"/>
          <w:i/>
          <w:sz w:val="20"/>
          <w:szCs w:val="20"/>
        </w:rPr>
        <w:t xml:space="preserve"> savings</w:t>
      </w:r>
    </w:p>
    <w:p w:rsidR="00C02519" w:rsidRPr="00DD3825" w:rsidRDefault="00C02519" w:rsidP="00126A4E">
      <w:pPr>
        <w:rPr>
          <w:rFonts w:cs="Arial"/>
          <w:i/>
          <w:sz w:val="20"/>
          <w:szCs w:val="20"/>
        </w:rPr>
      </w:pPr>
      <w:r w:rsidRPr="00DD3825">
        <w:rPr>
          <w:rFonts w:cs="Arial"/>
          <w:i/>
          <w:sz w:val="20"/>
          <w:szCs w:val="20"/>
        </w:rPr>
        <w:t xml:space="preserve">baseline kWh = annual building energy consumption of </w:t>
      </w:r>
      <w:r w:rsidR="00F96C5C" w:rsidRPr="00DD3825">
        <w:rPr>
          <w:rFonts w:cs="Arial"/>
          <w:i/>
          <w:sz w:val="20"/>
          <w:szCs w:val="20"/>
        </w:rPr>
        <w:t>customer average baseline</w:t>
      </w:r>
    </w:p>
    <w:p w:rsidR="00C02519" w:rsidRPr="00DD3825" w:rsidRDefault="00C02519" w:rsidP="00126A4E">
      <w:pPr>
        <w:rPr>
          <w:rFonts w:cs="Arial"/>
          <w:i/>
          <w:sz w:val="20"/>
          <w:szCs w:val="20"/>
        </w:rPr>
      </w:pPr>
      <w:r w:rsidRPr="00DD3825">
        <w:rPr>
          <w:rFonts w:cs="Arial"/>
          <w:i/>
          <w:sz w:val="20"/>
          <w:szCs w:val="20"/>
        </w:rPr>
        <w:t>measure kWh = annual building</w:t>
      </w:r>
      <w:r w:rsidR="00D93AE9" w:rsidRPr="00DD3825">
        <w:rPr>
          <w:rFonts w:cs="Arial"/>
          <w:i/>
          <w:sz w:val="20"/>
          <w:szCs w:val="20"/>
        </w:rPr>
        <w:t xml:space="preserve"> </w:t>
      </w:r>
      <w:r w:rsidRPr="00DD3825">
        <w:rPr>
          <w:rFonts w:cs="Arial"/>
          <w:i/>
          <w:sz w:val="20"/>
          <w:szCs w:val="20"/>
        </w:rPr>
        <w:t>energy consumption of measure</w:t>
      </w:r>
    </w:p>
    <w:p w:rsidR="00C02519" w:rsidRPr="00DD3825" w:rsidRDefault="00C02519" w:rsidP="00126A4E">
      <w:pPr>
        <w:rPr>
          <w:rFonts w:cs="Arial"/>
          <w:i/>
          <w:sz w:val="20"/>
          <w:szCs w:val="20"/>
        </w:rPr>
      </w:pPr>
      <w:r w:rsidRPr="00DD3825">
        <w:rPr>
          <w:rFonts w:cs="Arial"/>
          <w:i/>
          <w:sz w:val="20"/>
          <w:szCs w:val="20"/>
        </w:rPr>
        <w:t>cooling tons = cooling capacity of</w:t>
      </w:r>
      <w:r w:rsidR="00F96C5C" w:rsidRPr="00DD3825">
        <w:rPr>
          <w:rFonts w:cs="Arial"/>
          <w:i/>
          <w:sz w:val="20"/>
          <w:szCs w:val="20"/>
        </w:rPr>
        <w:t xml:space="preserve"> units measure was applied to (Btu/h) divided by 12,000 (B</w:t>
      </w:r>
      <w:r w:rsidR="00474620" w:rsidRPr="00DD3825">
        <w:rPr>
          <w:rFonts w:cs="Arial"/>
          <w:i/>
          <w:sz w:val="20"/>
          <w:szCs w:val="20"/>
        </w:rPr>
        <w:t xml:space="preserve">tu/h per </w:t>
      </w:r>
      <w:r w:rsidRPr="00DD3825">
        <w:rPr>
          <w:rFonts w:cs="Arial"/>
          <w:i/>
          <w:sz w:val="20"/>
          <w:szCs w:val="20"/>
        </w:rPr>
        <w:t>ton)</w:t>
      </w:r>
    </w:p>
    <w:p w:rsidR="00C02519" w:rsidRPr="00DD3825" w:rsidRDefault="00C02519" w:rsidP="00126A4E">
      <w:pPr>
        <w:rPr>
          <w:rFonts w:cs="Arial"/>
          <w:i/>
          <w:sz w:val="20"/>
          <w:szCs w:val="20"/>
        </w:rPr>
      </w:pPr>
    </w:p>
    <w:p w:rsidR="00F96C5C" w:rsidRPr="00DD3825" w:rsidRDefault="00F96C5C" w:rsidP="00C02519">
      <w:r w:rsidRPr="00DD3825">
        <w:t xml:space="preserve">A sample calculation using a 1985 vintage assembly (Asm) prototype </w:t>
      </w:r>
      <w:r w:rsidR="00E8374A" w:rsidRPr="00DD3825">
        <w:t xml:space="preserve">using AC with gas heat </w:t>
      </w:r>
      <w:r w:rsidRPr="00DD3825">
        <w:t xml:space="preserve">located in climate zone 11 is provided below. </w:t>
      </w:r>
    </w:p>
    <w:p w:rsidR="007F33A6" w:rsidRPr="00DD3825" w:rsidRDefault="007F33A6" w:rsidP="00C02519"/>
    <w:p w:rsidR="007F33A6" w:rsidRPr="00DD3825" w:rsidRDefault="007F33A6" w:rsidP="00C02519">
      <w:r w:rsidRPr="00DD3825">
        <w:t xml:space="preserve">The DEER Asm prototype consists of five zones total as </w:t>
      </w:r>
      <w:r w:rsidR="00FA7E1F" w:rsidRPr="00DD3825">
        <w:t>depicted</w:t>
      </w:r>
      <w:r w:rsidRPr="00DD3825">
        <w:t xml:space="preserve"> in </w:t>
      </w:r>
      <w:r w:rsidRPr="00DD3825">
        <w:fldChar w:fldCharType="begin"/>
      </w:r>
      <w:r w:rsidRPr="00DD3825">
        <w:instrText xml:space="preserve"> REF _Ref384721027 \h </w:instrText>
      </w:r>
      <w:r w:rsidR="00DD3825">
        <w:instrText xml:space="preserve"> \* MERGEFORMAT </w:instrText>
      </w:r>
      <w:r w:rsidRPr="00DD3825">
        <w:fldChar w:fldCharType="separate"/>
      </w:r>
      <w:r w:rsidR="00B424F3" w:rsidRPr="00DD3825">
        <w:t xml:space="preserve">Figure </w:t>
      </w:r>
      <w:r w:rsidR="00B424F3">
        <w:rPr>
          <w:noProof/>
        </w:rPr>
        <w:t>1</w:t>
      </w:r>
      <w:r w:rsidRPr="00DD3825">
        <w:fldChar w:fldCharType="end"/>
      </w:r>
      <w:r w:rsidRPr="00DD3825">
        <w:t xml:space="preserve">. The four smaller zones in the corners of the building represent office </w:t>
      </w:r>
      <w:r w:rsidR="00FA7E1F" w:rsidRPr="00DD3825">
        <w:t xml:space="preserve">spaces with peak occupant densities of under 7 people per 1000 square feet. The central zone represents an auditorium space with a peak occupant density of over 95 people per 1000 square feet. For assembly buildings it was determined that DCV could be used to reduce the minimum ventilation rate required for the central auditorium zone, but that DCV could not be used effectively in the corner office zones. </w:t>
      </w:r>
      <w:r w:rsidR="00833983" w:rsidRPr="00DD3825">
        <w:t xml:space="preserve">The DCV measure was therefore simulated only on the central auditorium zone, and the savings were divided by the cooling capacity in tons of the system that serves only that zone. </w:t>
      </w:r>
    </w:p>
    <w:p w:rsidR="007F33A6" w:rsidRPr="00DD3825" w:rsidRDefault="007F33A6" w:rsidP="00C02519"/>
    <w:p w:rsidR="007F33A6" w:rsidRPr="00DD3825" w:rsidRDefault="007F33A6" w:rsidP="00FC7AEC">
      <w:pPr>
        <w:keepNext/>
      </w:pPr>
      <w:r w:rsidRPr="00DD3825">
        <w:rPr>
          <w:noProof/>
        </w:rPr>
        <w:lastRenderedPageBreak/>
        <w:drawing>
          <wp:inline distT="0" distB="0" distL="0" distR="0" wp14:anchorId="303D0F02" wp14:editId="31757E98">
            <wp:extent cx="5943600" cy="2708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943600" cy="2708275"/>
                    </a:xfrm>
                    <a:prstGeom prst="rect">
                      <a:avLst/>
                    </a:prstGeom>
                  </pic:spPr>
                </pic:pic>
              </a:graphicData>
            </a:graphic>
          </wp:inline>
        </w:drawing>
      </w:r>
    </w:p>
    <w:p w:rsidR="007F33A6" w:rsidRPr="00DD3825" w:rsidRDefault="007F33A6" w:rsidP="00FC7AEC">
      <w:pPr>
        <w:pStyle w:val="Caption"/>
        <w:jc w:val="center"/>
      </w:pPr>
      <w:bookmarkStart w:id="115" w:name="_Ref384721027"/>
      <w:bookmarkStart w:id="116" w:name="_Ref384721023"/>
      <w:bookmarkStart w:id="117" w:name="_Toc386811762"/>
      <w:r w:rsidRPr="00DD3825">
        <w:t xml:space="preserve">Figure </w:t>
      </w:r>
      <w:r w:rsidR="00FF41C5">
        <w:fldChar w:fldCharType="begin"/>
      </w:r>
      <w:r w:rsidR="00FF41C5">
        <w:instrText xml:space="preserve"> SEQ Figure \* ARABIC </w:instrText>
      </w:r>
      <w:r w:rsidR="00FF41C5">
        <w:fldChar w:fldCharType="separate"/>
      </w:r>
      <w:r w:rsidR="00B424F3">
        <w:rPr>
          <w:noProof/>
        </w:rPr>
        <w:t>1</w:t>
      </w:r>
      <w:r w:rsidR="00FF41C5">
        <w:rPr>
          <w:noProof/>
        </w:rPr>
        <w:fldChar w:fldCharType="end"/>
      </w:r>
      <w:bookmarkEnd w:id="115"/>
      <w:r w:rsidRPr="00DD3825">
        <w:t xml:space="preserve"> DEER Asm Prototype with DCV Zone Outlined</w:t>
      </w:r>
      <w:bookmarkEnd w:id="116"/>
      <w:bookmarkEnd w:id="117"/>
    </w:p>
    <w:p w:rsidR="003D3F92" w:rsidRPr="00DD3825" w:rsidRDefault="003D3F92" w:rsidP="003D3F92"/>
    <w:p w:rsidR="003D3F92" w:rsidRPr="00DD3825" w:rsidRDefault="001C4F51" w:rsidP="003D3F92">
      <w:r w:rsidRPr="00DD3825">
        <w:fldChar w:fldCharType="begin"/>
      </w:r>
      <w:r w:rsidRPr="00DD3825">
        <w:instrText xml:space="preserve"> REF _Ref384915355 \h </w:instrText>
      </w:r>
      <w:r w:rsidR="00DD3825">
        <w:instrText xml:space="preserve"> \* MERGEFORMAT </w:instrText>
      </w:r>
      <w:r w:rsidRPr="00DD3825">
        <w:fldChar w:fldCharType="separate"/>
      </w:r>
      <w:r w:rsidR="00B424F3" w:rsidRPr="00DD3825">
        <w:t xml:space="preserve">Table </w:t>
      </w:r>
      <w:r w:rsidR="00B424F3">
        <w:rPr>
          <w:noProof/>
        </w:rPr>
        <w:t>13</w:t>
      </w:r>
      <w:r w:rsidRPr="00DD3825">
        <w:fldChar w:fldCharType="end"/>
      </w:r>
      <w:r w:rsidRPr="00DD3825">
        <w:t xml:space="preserve"> </w:t>
      </w:r>
      <w:r w:rsidR="003D3F92" w:rsidRPr="00DD3825">
        <w:t xml:space="preserve">provides </w:t>
      </w:r>
      <w:r w:rsidR="009A292C" w:rsidRPr="00DD3825">
        <w:t xml:space="preserve">electric </w:t>
      </w:r>
      <w:r w:rsidR="003D3F92" w:rsidRPr="00DD3825">
        <w:t xml:space="preserve">energy use and cooling capacity data for the baseline and measure case on the Asm prototype approximating a building constructed in 1986 in climate zone 11. </w:t>
      </w:r>
    </w:p>
    <w:p w:rsidR="007F33A6" w:rsidRPr="00DD3825" w:rsidRDefault="007F33A6" w:rsidP="00C02519"/>
    <w:p w:rsidR="00474620" w:rsidRPr="00DD3825" w:rsidRDefault="00474620" w:rsidP="00E044FE">
      <w:pPr>
        <w:pStyle w:val="Caption"/>
        <w:keepNext/>
        <w:jc w:val="center"/>
      </w:pPr>
      <w:bookmarkStart w:id="118" w:name="_Ref384915355"/>
      <w:bookmarkStart w:id="119" w:name="_Toc386811753"/>
      <w:r w:rsidRPr="00DD3825">
        <w:t xml:space="preserve">Table </w:t>
      </w:r>
      <w:r w:rsidR="00FF41C5">
        <w:fldChar w:fldCharType="begin"/>
      </w:r>
      <w:r w:rsidR="00FF41C5">
        <w:instrText xml:space="preserve"> SEQ Table \* ARABIC </w:instrText>
      </w:r>
      <w:r w:rsidR="00FF41C5">
        <w:fldChar w:fldCharType="separate"/>
      </w:r>
      <w:r w:rsidR="00B424F3">
        <w:rPr>
          <w:noProof/>
        </w:rPr>
        <w:t>13</w:t>
      </w:r>
      <w:r w:rsidR="00FF41C5">
        <w:rPr>
          <w:noProof/>
        </w:rPr>
        <w:fldChar w:fldCharType="end"/>
      </w:r>
      <w:bookmarkEnd w:id="118"/>
      <w:r w:rsidRPr="00DD3825">
        <w:t xml:space="preserve"> Asm cz11 v85 AC with Gas Heat Electric Energy Use and Cooling Capacity Data</w:t>
      </w:r>
      <w:bookmarkEnd w:id="119"/>
    </w:p>
    <w:tbl>
      <w:tblPr>
        <w:tblStyle w:val="PGEWorkPaper"/>
        <w:tblW w:w="0" w:type="auto"/>
        <w:tblLook w:val="04A0" w:firstRow="1" w:lastRow="0" w:firstColumn="1" w:lastColumn="0" w:noHBand="0" w:noVBand="1"/>
      </w:tblPr>
      <w:tblGrid>
        <w:gridCol w:w="3301"/>
        <w:gridCol w:w="3314"/>
        <w:gridCol w:w="2961"/>
      </w:tblGrid>
      <w:tr w:rsidR="002E743C" w:rsidRPr="00DD3825" w:rsidTr="00FC7AEC">
        <w:trPr>
          <w:cnfStyle w:val="100000000000" w:firstRow="1" w:lastRow="0" w:firstColumn="0" w:lastColumn="0" w:oddVBand="0" w:evenVBand="0" w:oddHBand="0" w:evenHBand="0" w:firstRowFirstColumn="0" w:firstRowLastColumn="0" w:lastRowFirstColumn="0" w:lastRowLastColumn="0"/>
        </w:trPr>
        <w:tc>
          <w:tcPr>
            <w:tcW w:w="3301" w:type="dxa"/>
          </w:tcPr>
          <w:p w:rsidR="002E743C" w:rsidRPr="00DD3825" w:rsidRDefault="002E743C" w:rsidP="00C02519">
            <w:pPr>
              <w:rPr>
                <w:color w:val="auto"/>
              </w:rPr>
            </w:pPr>
          </w:p>
        </w:tc>
        <w:tc>
          <w:tcPr>
            <w:tcW w:w="3314" w:type="dxa"/>
          </w:tcPr>
          <w:p w:rsidR="002E743C" w:rsidRPr="00DD3825" w:rsidRDefault="002E743C" w:rsidP="00C02519">
            <w:pPr>
              <w:rPr>
                <w:rFonts w:cs="Arial"/>
                <w:color w:val="auto"/>
                <w:sz w:val="20"/>
                <w:szCs w:val="20"/>
              </w:rPr>
            </w:pPr>
            <w:r w:rsidRPr="00DD3825">
              <w:rPr>
                <w:rFonts w:cs="Arial"/>
                <w:color w:val="auto"/>
                <w:sz w:val="20"/>
                <w:szCs w:val="20"/>
              </w:rPr>
              <w:t>Baseline</w:t>
            </w:r>
          </w:p>
        </w:tc>
        <w:tc>
          <w:tcPr>
            <w:tcW w:w="2961" w:type="dxa"/>
          </w:tcPr>
          <w:p w:rsidR="002E743C" w:rsidRPr="00DD3825" w:rsidRDefault="002E743C" w:rsidP="00C02519">
            <w:pPr>
              <w:rPr>
                <w:rFonts w:cs="Arial"/>
                <w:color w:val="auto"/>
                <w:sz w:val="20"/>
                <w:szCs w:val="20"/>
              </w:rPr>
            </w:pPr>
            <w:r w:rsidRPr="00DD3825">
              <w:rPr>
                <w:rFonts w:cs="Arial"/>
                <w:color w:val="auto"/>
                <w:sz w:val="20"/>
                <w:szCs w:val="20"/>
              </w:rPr>
              <w:t>Measure</w:t>
            </w:r>
          </w:p>
        </w:tc>
      </w:tr>
      <w:tr w:rsidR="002E743C" w:rsidRPr="00DD3825" w:rsidTr="00FC7AEC">
        <w:trPr>
          <w:cnfStyle w:val="000000100000" w:firstRow="0" w:lastRow="0" w:firstColumn="0" w:lastColumn="0" w:oddVBand="0" w:evenVBand="0" w:oddHBand="1" w:evenHBand="0" w:firstRowFirstColumn="0" w:firstRowLastColumn="0" w:lastRowFirstColumn="0" w:lastRowLastColumn="0"/>
        </w:trPr>
        <w:tc>
          <w:tcPr>
            <w:tcW w:w="3301" w:type="dxa"/>
          </w:tcPr>
          <w:p w:rsidR="002E743C" w:rsidRPr="00DD3825" w:rsidRDefault="002E743C" w:rsidP="00C02519">
            <w:r w:rsidRPr="00DD3825">
              <w:t>Whole building energy use (kWh/yr)</w:t>
            </w:r>
          </w:p>
        </w:tc>
        <w:tc>
          <w:tcPr>
            <w:tcW w:w="3314" w:type="dxa"/>
          </w:tcPr>
          <w:p w:rsidR="002E743C" w:rsidRPr="00DD3825" w:rsidRDefault="002E743C" w:rsidP="00C02519">
            <w:pPr>
              <w:rPr>
                <w:rFonts w:cs="Arial"/>
                <w:sz w:val="20"/>
                <w:szCs w:val="20"/>
              </w:rPr>
            </w:pPr>
            <w:r w:rsidRPr="00DD3825">
              <w:rPr>
                <w:rFonts w:cs="Arial"/>
                <w:sz w:val="20"/>
                <w:szCs w:val="20"/>
              </w:rPr>
              <w:t>795,732.0</w:t>
            </w:r>
          </w:p>
        </w:tc>
        <w:tc>
          <w:tcPr>
            <w:tcW w:w="2961" w:type="dxa"/>
          </w:tcPr>
          <w:p w:rsidR="002E743C" w:rsidRPr="00DD3825" w:rsidRDefault="002E743C" w:rsidP="00C02519">
            <w:pPr>
              <w:rPr>
                <w:rFonts w:cs="Arial"/>
                <w:sz w:val="20"/>
                <w:szCs w:val="20"/>
              </w:rPr>
            </w:pPr>
            <w:r w:rsidRPr="00DD3825">
              <w:rPr>
                <w:rFonts w:cs="Arial"/>
                <w:sz w:val="20"/>
                <w:szCs w:val="20"/>
              </w:rPr>
              <w:t>775,703.6</w:t>
            </w:r>
          </w:p>
        </w:tc>
      </w:tr>
      <w:tr w:rsidR="002E743C" w:rsidRPr="00DD3825" w:rsidTr="00FC7AEC">
        <w:trPr>
          <w:cnfStyle w:val="000000010000" w:firstRow="0" w:lastRow="0" w:firstColumn="0" w:lastColumn="0" w:oddVBand="0" w:evenVBand="0" w:oddHBand="0" w:evenHBand="1" w:firstRowFirstColumn="0" w:firstRowLastColumn="0" w:lastRowFirstColumn="0" w:lastRowLastColumn="0"/>
        </w:trPr>
        <w:tc>
          <w:tcPr>
            <w:tcW w:w="3301" w:type="dxa"/>
          </w:tcPr>
          <w:p w:rsidR="002E743C" w:rsidRPr="00DD3825" w:rsidRDefault="002E743C" w:rsidP="00C02519">
            <w:r w:rsidRPr="00DD3825">
              <w:t>System cooling capacity (Btu/h)</w:t>
            </w:r>
          </w:p>
        </w:tc>
        <w:tc>
          <w:tcPr>
            <w:tcW w:w="3314" w:type="dxa"/>
          </w:tcPr>
          <w:p w:rsidR="002E743C" w:rsidRPr="00DD3825" w:rsidRDefault="002E743C" w:rsidP="00C02519">
            <w:pPr>
              <w:rPr>
                <w:rFonts w:cs="Arial"/>
                <w:sz w:val="20"/>
                <w:szCs w:val="20"/>
              </w:rPr>
            </w:pPr>
            <w:r w:rsidRPr="00DD3825">
              <w:rPr>
                <w:rFonts w:cs="Arial"/>
                <w:sz w:val="20"/>
                <w:szCs w:val="20"/>
              </w:rPr>
              <w:t>2,485,200</w:t>
            </w:r>
          </w:p>
        </w:tc>
        <w:tc>
          <w:tcPr>
            <w:tcW w:w="2961" w:type="dxa"/>
          </w:tcPr>
          <w:p w:rsidR="002E743C" w:rsidRPr="00DD3825" w:rsidRDefault="002E743C" w:rsidP="00C02519">
            <w:pPr>
              <w:rPr>
                <w:rFonts w:cs="Arial"/>
                <w:sz w:val="20"/>
                <w:szCs w:val="20"/>
              </w:rPr>
            </w:pPr>
            <w:r w:rsidRPr="00DD3825">
              <w:rPr>
                <w:rFonts w:cs="Arial"/>
                <w:sz w:val="20"/>
                <w:szCs w:val="20"/>
              </w:rPr>
              <w:t>2,485,200</w:t>
            </w:r>
          </w:p>
        </w:tc>
      </w:tr>
    </w:tbl>
    <w:p w:rsidR="007E131F" w:rsidRPr="00DD3825" w:rsidRDefault="007E131F" w:rsidP="00C02519">
      <w:pPr>
        <w:rPr>
          <w:sz w:val="24"/>
        </w:rPr>
      </w:pPr>
    </w:p>
    <w:p w:rsidR="00126A4E" w:rsidRPr="00DD3825" w:rsidRDefault="00E8374A" w:rsidP="00FC7AEC">
      <w:pPr>
        <w:jc w:val="center"/>
      </w:pPr>
      <m:oMathPara>
        <m:oMath>
          <m:r>
            <w:rPr>
              <w:rFonts w:ascii="Cambria Math" w:hAnsi="Cambria Math"/>
              <w:sz w:val="24"/>
            </w:rPr>
            <m:t>96.709</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kWh</m:t>
                  </m:r>
                </m:num>
                <m:den>
                  <m:r>
                    <w:rPr>
                      <w:rFonts w:ascii="Cambria Math" w:hAnsi="Cambria Math"/>
                      <w:sz w:val="24"/>
                    </w:rPr>
                    <m:t>ton x year</m:t>
                  </m:r>
                </m:den>
              </m:f>
            </m:e>
          </m:d>
          <m:r>
            <w:rPr>
              <w:rFonts w:ascii="Cambria Math" w:hAnsi="Cambria Math"/>
              <w:sz w:val="24"/>
            </w:rPr>
            <m:t>=</m:t>
          </m:r>
          <m:f>
            <m:fPr>
              <m:ctrlPr>
                <w:rPr>
                  <w:rFonts w:ascii="Cambria Math" w:hAnsi="Cambria Math"/>
                  <w:i/>
                  <w:sz w:val="24"/>
                </w:rPr>
              </m:ctrlPr>
            </m:fPr>
            <m:num>
              <m:r>
                <w:rPr>
                  <w:rFonts w:ascii="Cambria Math" w:hAnsi="Cambria Math"/>
                  <w:sz w:val="24"/>
                </w:rPr>
                <m:t>795,732.0</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kWh</m:t>
                      </m:r>
                    </m:num>
                    <m:den>
                      <m:r>
                        <w:rPr>
                          <w:rFonts w:ascii="Cambria Math" w:hAnsi="Cambria Math"/>
                          <w:sz w:val="24"/>
                        </w:rPr>
                        <m:t>year</m:t>
                      </m:r>
                    </m:den>
                  </m:f>
                </m:e>
              </m:d>
              <m:r>
                <w:rPr>
                  <w:rFonts w:ascii="Cambria Math" w:hAnsi="Cambria Math"/>
                  <w:sz w:val="24"/>
                </w:rPr>
                <m:t>-775,703.6</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kWh</m:t>
                      </m:r>
                    </m:num>
                    <m:den>
                      <m:r>
                        <w:rPr>
                          <w:rFonts w:ascii="Cambria Math" w:hAnsi="Cambria Math"/>
                          <w:sz w:val="24"/>
                        </w:rPr>
                        <m:t>year</m:t>
                      </m:r>
                    </m:den>
                  </m:f>
                </m:e>
              </m:d>
            </m:num>
            <m:den>
              <m:r>
                <w:rPr>
                  <w:rFonts w:ascii="Cambria Math" w:hAnsi="Cambria Math"/>
                  <w:sz w:val="24"/>
                </w:rPr>
                <m:t>2,485,200</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Btu</m:t>
                      </m:r>
                    </m:num>
                    <m:den>
                      <m:r>
                        <w:rPr>
                          <w:rFonts w:ascii="Cambria Math" w:hAnsi="Cambria Math"/>
                          <w:sz w:val="24"/>
                        </w:rPr>
                        <m:t>h</m:t>
                      </m:r>
                    </m:den>
                  </m:f>
                </m:e>
              </m:d>
              <m:r>
                <w:rPr>
                  <w:rFonts w:ascii="Cambria Math" w:hAnsi="Cambria Math"/>
                  <w:sz w:val="24"/>
                </w:rPr>
                <m:t>/12,000</m:t>
              </m:r>
              <m:d>
                <m:dPr>
                  <m:ctrlPr>
                    <w:rPr>
                      <w:rFonts w:ascii="Cambria Math" w:hAnsi="Cambria Math"/>
                      <w:i/>
                      <w:sz w:val="24"/>
                    </w:rPr>
                  </m:ctrlPr>
                </m:dPr>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Btu</m:t>
                          </m:r>
                        </m:num>
                        <m:den>
                          <m:r>
                            <w:rPr>
                              <w:rFonts w:ascii="Cambria Math" w:hAnsi="Cambria Math"/>
                              <w:sz w:val="24"/>
                            </w:rPr>
                            <m:t>h</m:t>
                          </m:r>
                        </m:den>
                      </m:f>
                    </m:e>
                  </m:d>
                  <m:r>
                    <w:rPr>
                      <w:rFonts w:ascii="Cambria Math" w:hAnsi="Cambria Math"/>
                      <w:sz w:val="24"/>
                    </w:rPr>
                    <m:t>/ton</m:t>
                  </m:r>
                </m:e>
              </m:d>
            </m:den>
          </m:f>
        </m:oMath>
      </m:oMathPara>
    </w:p>
    <w:p w:rsidR="00C069A2" w:rsidRPr="00DD3825" w:rsidRDefault="0030550A" w:rsidP="002E0043">
      <w:pPr>
        <w:pStyle w:val="Heading2"/>
        <w:keepNext w:val="0"/>
      </w:pPr>
      <w:bookmarkStart w:id="120" w:name="_Toc304800212"/>
      <w:bookmarkStart w:id="121" w:name="_Toc324318366"/>
      <w:bookmarkStart w:id="122" w:name="_Toc324340495"/>
      <w:bookmarkStart w:id="123" w:name="_Toc386811728"/>
      <w:r w:rsidRPr="00DD3825">
        <w:t>2.2. Demand R</w:t>
      </w:r>
      <w:r w:rsidR="00C069A2" w:rsidRPr="00DD3825">
        <w:t>eduction Estimation Methodologies</w:t>
      </w:r>
      <w:bookmarkEnd w:id="120"/>
      <w:bookmarkEnd w:id="121"/>
      <w:bookmarkEnd w:id="122"/>
      <w:bookmarkEnd w:id="123"/>
    </w:p>
    <w:p w:rsidR="00CF3FF0" w:rsidRPr="00DD3825" w:rsidRDefault="00CF3FF0" w:rsidP="00EB46D0">
      <w:pPr>
        <w:rPr>
          <w:rFonts w:cs="Arial"/>
          <w:i/>
          <w:sz w:val="20"/>
          <w:szCs w:val="20"/>
        </w:rPr>
      </w:pPr>
    </w:p>
    <w:p w:rsidR="00581CDB" w:rsidRPr="00DD3825" w:rsidRDefault="00744DCA" w:rsidP="00744DCA">
      <w:pPr>
        <w:rPr>
          <w:rFonts w:cs="Arial"/>
          <w:sz w:val="20"/>
          <w:szCs w:val="20"/>
        </w:rPr>
      </w:pPr>
      <w:r w:rsidRPr="00DD3825">
        <w:t xml:space="preserve">Demand reduction is calculated similarly to electric energy savings, however there is an additional calculation step required to estimate peak demand reduction in accordance with DEER peak period definitions. The DEER demand reduction estimation protocol requires average hourly peak demand from a defined time period that varies by climate zone to be determined for the baseline and measure. The time period defined </w:t>
      </w:r>
      <w:r w:rsidR="00581CDB" w:rsidRPr="00DD3825">
        <w:t xml:space="preserve">by climate zone is shown in </w:t>
      </w:r>
      <w:r w:rsidR="00581CDB" w:rsidRPr="00DD3825">
        <w:rPr>
          <w:rFonts w:cs="Arial"/>
          <w:sz w:val="20"/>
          <w:szCs w:val="20"/>
        </w:rPr>
        <w:fldChar w:fldCharType="begin"/>
      </w:r>
      <w:r w:rsidR="00581CDB" w:rsidRPr="00DD3825">
        <w:rPr>
          <w:rFonts w:cs="Arial"/>
          <w:sz w:val="20"/>
          <w:szCs w:val="20"/>
        </w:rPr>
        <w:instrText xml:space="preserve"> REF _Ref384725392 \h </w:instrText>
      </w:r>
      <w:r w:rsidR="00DD3825">
        <w:rPr>
          <w:rFonts w:cs="Arial"/>
          <w:sz w:val="20"/>
          <w:szCs w:val="20"/>
        </w:rPr>
        <w:instrText xml:space="preserve"> \* MERGEFORMAT </w:instrText>
      </w:r>
      <w:r w:rsidR="00581CDB" w:rsidRPr="00DD3825">
        <w:rPr>
          <w:rFonts w:cs="Arial"/>
          <w:sz w:val="20"/>
          <w:szCs w:val="20"/>
        </w:rPr>
      </w:r>
      <w:r w:rsidR="00581CDB" w:rsidRPr="00DD3825">
        <w:rPr>
          <w:rFonts w:cs="Arial"/>
          <w:sz w:val="20"/>
          <w:szCs w:val="20"/>
        </w:rPr>
        <w:fldChar w:fldCharType="separate"/>
      </w:r>
      <w:r w:rsidR="00B424F3" w:rsidRPr="00DD3825">
        <w:t xml:space="preserve">Table </w:t>
      </w:r>
      <w:r w:rsidR="00B424F3">
        <w:rPr>
          <w:noProof/>
        </w:rPr>
        <w:t>14</w:t>
      </w:r>
      <w:r w:rsidR="00581CDB" w:rsidRPr="00DD3825">
        <w:rPr>
          <w:rFonts w:cs="Arial"/>
          <w:sz w:val="20"/>
          <w:szCs w:val="20"/>
        </w:rPr>
        <w:fldChar w:fldCharType="end"/>
      </w:r>
      <w:r w:rsidR="001C4F51" w:rsidRPr="00DD3825">
        <w:rPr>
          <w:rStyle w:val="EndnoteReference"/>
          <w:rFonts w:cs="Arial"/>
          <w:sz w:val="20"/>
          <w:szCs w:val="20"/>
        </w:rPr>
        <w:endnoteReference w:id="10"/>
      </w:r>
      <w:r w:rsidR="00581CDB" w:rsidRPr="00DD3825">
        <w:rPr>
          <w:rFonts w:cs="Arial"/>
          <w:sz w:val="20"/>
          <w:szCs w:val="20"/>
        </w:rPr>
        <w:t>.</w:t>
      </w:r>
    </w:p>
    <w:p w:rsidR="009F237B" w:rsidRPr="00DD3825" w:rsidRDefault="009F237B" w:rsidP="00744DCA">
      <w:pPr>
        <w:rPr>
          <w:rFonts w:cs="Arial"/>
          <w:sz w:val="20"/>
          <w:szCs w:val="20"/>
        </w:rPr>
      </w:pPr>
    </w:p>
    <w:p w:rsidR="00581CDB" w:rsidRPr="00DD3825" w:rsidRDefault="00581CDB" w:rsidP="00FC7AEC">
      <w:pPr>
        <w:pStyle w:val="Caption"/>
        <w:keepNext/>
        <w:jc w:val="center"/>
      </w:pPr>
      <w:bookmarkStart w:id="124" w:name="_Ref384725392"/>
      <w:bookmarkStart w:id="125" w:name="_Toc386811754"/>
      <w:r w:rsidRPr="00DD3825">
        <w:t xml:space="preserve">Table </w:t>
      </w:r>
      <w:r w:rsidR="00FF41C5">
        <w:fldChar w:fldCharType="begin"/>
      </w:r>
      <w:r w:rsidR="00FF41C5">
        <w:instrText xml:space="preserve"> SEQ Table \* ARABIC </w:instrText>
      </w:r>
      <w:r w:rsidR="00FF41C5">
        <w:fldChar w:fldCharType="separate"/>
      </w:r>
      <w:r w:rsidR="00B424F3">
        <w:rPr>
          <w:noProof/>
        </w:rPr>
        <w:t>14</w:t>
      </w:r>
      <w:r w:rsidR="00FF41C5">
        <w:rPr>
          <w:noProof/>
        </w:rPr>
        <w:fldChar w:fldCharType="end"/>
      </w:r>
      <w:bookmarkEnd w:id="124"/>
      <w:r w:rsidRPr="00DD3825">
        <w:t xml:space="preserve"> DEER 2014 Peak Demand Periods</w:t>
      </w:r>
      <w:bookmarkEnd w:id="125"/>
    </w:p>
    <w:tbl>
      <w:tblPr>
        <w:tblStyle w:val="PGEWorkPaper"/>
        <w:tblW w:w="0" w:type="auto"/>
        <w:jc w:val="center"/>
        <w:tblLook w:val="04A0" w:firstRow="1" w:lastRow="0" w:firstColumn="1" w:lastColumn="0" w:noHBand="0" w:noVBand="1"/>
      </w:tblPr>
      <w:tblGrid>
        <w:gridCol w:w="510"/>
        <w:gridCol w:w="1426"/>
        <w:gridCol w:w="1134"/>
        <w:gridCol w:w="1404"/>
        <w:gridCol w:w="1170"/>
        <w:gridCol w:w="900"/>
        <w:gridCol w:w="1072"/>
      </w:tblGrid>
      <w:tr w:rsidR="00581CDB" w:rsidRPr="00DD3825" w:rsidTr="00FC7AEC">
        <w:trPr>
          <w:cnfStyle w:val="100000000000" w:firstRow="1" w:lastRow="0" w:firstColumn="0" w:lastColumn="0" w:oddVBand="0" w:evenVBand="0" w:oddHBand="0" w:evenHBand="0" w:firstRowFirstColumn="0" w:firstRowLastColumn="0" w:lastRowFirstColumn="0" w:lastRowLastColumn="0"/>
          <w:trHeight w:val="158"/>
          <w:jc w:val="center"/>
        </w:trPr>
        <w:tc>
          <w:tcPr>
            <w:tcW w:w="0" w:type="auto"/>
            <w:noWrap/>
            <w:hideMark/>
          </w:tcPr>
          <w:p w:rsidR="00581CDB" w:rsidRPr="00DD3825" w:rsidRDefault="00581CDB" w:rsidP="00581CDB">
            <w:pPr>
              <w:rPr>
                <w:rFonts w:asciiTheme="minorHAnsi" w:hAnsiTheme="minorHAnsi" w:cstheme="minorHAnsi"/>
                <w:bCs w:val="0"/>
                <w:color w:val="auto"/>
                <w:sz w:val="20"/>
                <w:szCs w:val="20"/>
              </w:rPr>
            </w:pPr>
            <w:r w:rsidRPr="00DD3825">
              <w:rPr>
                <w:color w:val="auto"/>
              </w:rPr>
              <w:t>CZ</w:t>
            </w:r>
          </w:p>
        </w:tc>
        <w:tc>
          <w:tcPr>
            <w:tcW w:w="0" w:type="auto"/>
            <w:hideMark/>
          </w:tcPr>
          <w:p w:rsidR="00581CDB" w:rsidRPr="00DD3825" w:rsidRDefault="00581CDB" w:rsidP="00581CDB">
            <w:pPr>
              <w:rPr>
                <w:rFonts w:asciiTheme="minorHAnsi" w:hAnsiTheme="minorHAnsi" w:cstheme="minorHAnsi"/>
                <w:bCs w:val="0"/>
                <w:color w:val="auto"/>
                <w:sz w:val="20"/>
                <w:szCs w:val="20"/>
              </w:rPr>
            </w:pPr>
            <w:r w:rsidRPr="00DD3825">
              <w:rPr>
                <w:color w:val="auto"/>
              </w:rPr>
              <w:t>start month</w:t>
            </w:r>
          </w:p>
        </w:tc>
        <w:tc>
          <w:tcPr>
            <w:tcW w:w="0" w:type="auto"/>
            <w:hideMark/>
          </w:tcPr>
          <w:p w:rsidR="00581CDB" w:rsidRPr="00DD3825" w:rsidRDefault="00581CDB" w:rsidP="00581CDB">
            <w:pPr>
              <w:rPr>
                <w:rFonts w:asciiTheme="minorHAnsi" w:hAnsiTheme="minorHAnsi" w:cstheme="minorHAnsi"/>
                <w:bCs w:val="0"/>
                <w:color w:val="auto"/>
                <w:sz w:val="20"/>
                <w:szCs w:val="20"/>
              </w:rPr>
            </w:pPr>
            <w:r w:rsidRPr="00DD3825">
              <w:rPr>
                <w:color w:val="auto"/>
              </w:rPr>
              <w:t>start day</w:t>
            </w:r>
          </w:p>
        </w:tc>
        <w:tc>
          <w:tcPr>
            <w:tcW w:w="1404" w:type="dxa"/>
          </w:tcPr>
          <w:p w:rsidR="00581CDB" w:rsidRPr="00DD3825" w:rsidRDefault="00581CDB" w:rsidP="00581CDB">
            <w:pPr>
              <w:rPr>
                <w:rFonts w:asciiTheme="minorHAnsi" w:hAnsiTheme="minorHAnsi" w:cstheme="minorHAnsi"/>
                <w:bCs w:val="0"/>
                <w:color w:val="auto"/>
                <w:sz w:val="20"/>
                <w:szCs w:val="20"/>
              </w:rPr>
            </w:pPr>
            <w:r w:rsidRPr="00DD3825">
              <w:rPr>
                <w:color w:val="auto"/>
              </w:rPr>
              <w:t>end month</w:t>
            </w:r>
          </w:p>
        </w:tc>
        <w:tc>
          <w:tcPr>
            <w:tcW w:w="1170" w:type="dxa"/>
            <w:hideMark/>
          </w:tcPr>
          <w:p w:rsidR="00581CDB" w:rsidRPr="00DD3825" w:rsidRDefault="00581CDB" w:rsidP="00581CDB">
            <w:pPr>
              <w:rPr>
                <w:rFonts w:asciiTheme="minorHAnsi" w:hAnsiTheme="minorHAnsi" w:cstheme="minorHAnsi"/>
                <w:bCs w:val="0"/>
                <w:color w:val="auto"/>
                <w:sz w:val="20"/>
                <w:szCs w:val="20"/>
              </w:rPr>
            </w:pPr>
            <w:r w:rsidRPr="00DD3825">
              <w:rPr>
                <w:color w:val="auto"/>
              </w:rPr>
              <w:t>end day</w:t>
            </w:r>
          </w:p>
        </w:tc>
        <w:tc>
          <w:tcPr>
            <w:tcW w:w="900" w:type="dxa"/>
            <w:hideMark/>
          </w:tcPr>
          <w:p w:rsidR="00581CDB" w:rsidRPr="00DD3825" w:rsidRDefault="00581CDB" w:rsidP="00581CDB">
            <w:pPr>
              <w:rPr>
                <w:rFonts w:asciiTheme="minorHAnsi" w:hAnsiTheme="minorHAnsi" w:cstheme="minorHAnsi"/>
                <w:bCs w:val="0"/>
                <w:color w:val="auto"/>
                <w:sz w:val="20"/>
                <w:szCs w:val="20"/>
              </w:rPr>
            </w:pPr>
            <w:r w:rsidRPr="00DD3825">
              <w:rPr>
                <w:color w:val="auto"/>
              </w:rPr>
              <w:t>start hour</w:t>
            </w:r>
          </w:p>
        </w:tc>
        <w:tc>
          <w:tcPr>
            <w:tcW w:w="1072" w:type="dxa"/>
            <w:hideMark/>
          </w:tcPr>
          <w:p w:rsidR="00581CDB" w:rsidRPr="00DD3825" w:rsidRDefault="00581CDB" w:rsidP="00581CDB">
            <w:pPr>
              <w:rPr>
                <w:rFonts w:asciiTheme="minorHAnsi" w:hAnsiTheme="minorHAnsi" w:cstheme="minorHAnsi"/>
                <w:bCs w:val="0"/>
                <w:color w:val="auto"/>
                <w:sz w:val="20"/>
                <w:szCs w:val="20"/>
              </w:rPr>
            </w:pPr>
            <w:r w:rsidRPr="00DD3825">
              <w:rPr>
                <w:color w:val="auto"/>
              </w:rPr>
              <w:t>end hour</w:t>
            </w:r>
          </w:p>
        </w:tc>
      </w:tr>
      <w:tr w:rsidR="00581CDB" w:rsidRPr="00DD3825" w:rsidTr="00FC7AEC">
        <w:trPr>
          <w:cnfStyle w:val="000000100000" w:firstRow="0" w:lastRow="0" w:firstColumn="0" w:lastColumn="0" w:oddVBand="0" w:evenVBand="0" w:oddHBand="1" w:evenHBand="0" w:firstRowFirstColumn="0" w:firstRowLastColumn="0" w:lastRowFirstColumn="0" w:lastRowLastColumn="0"/>
          <w:trHeight w:val="158"/>
          <w:jc w:val="center"/>
        </w:trPr>
        <w:tc>
          <w:tcPr>
            <w:tcW w:w="0" w:type="auto"/>
            <w:noWrap/>
            <w:hideMark/>
          </w:tcPr>
          <w:p w:rsidR="00581CDB" w:rsidRPr="00DD3825" w:rsidRDefault="00581CDB" w:rsidP="00FC7AEC">
            <w:pPr>
              <w:rPr>
                <w:rFonts w:asciiTheme="minorHAnsi" w:hAnsiTheme="minorHAnsi" w:cstheme="minorHAnsi"/>
                <w:sz w:val="20"/>
                <w:szCs w:val="20"/>
              </w:rPr>
            </w:pPr>
            <w:r w:rsidRPr="00DD3825">
              <w:t>1</w:t>
            </w:r>
          </w:p>
        </w:tc>
        <w:tc>
          <w:tcPr>
            <w:tcW w:w="0" w:type="auto"/>
            <w:noWrap/>
            <w:hideMark/>
          </w:tcPr>
          <w:p w:rsidR="00581CDB" w:rsidRPr="00DD3825" w:rsidRDefault="00581CDB" w:rsidP="00FC7AEC">
            <w:pPr>
              <w:rPr>
                <w:rFonts w:asciiTheme="minorHAnsi" w:hAnsiTheme="minorHAnsi" w:cstheme="minorHAnsi"/>
                <w:sz w:val="20"/>
                <w:szCs w:val="20"/>
              </w:rPr>
            </w:pPr>
            <w:r w:rsidRPr="00DD3825">
              <w:t>9</w:t>
            </w:r>
          </w:p>
        </w:tc>
        <w:tc>
          <w:tcPr>
            <w:tcW w:w="0" w:type="auto"/>
            <w:noWrap/>
            <w:hideMark/>
          </w:tcPr>
          <w:p w:rsidR="00581CDB" w:rsidRPr="00DD3825" w:rsidRDefault="00581CDB" w:rsidP="00FC7AEC">
            <w:pPr>
              <w:rPr>
                <w:rFonts w:asciiTheme="minorHAnsi" w:hAnsiTheme="minorHAnsi" w:cstheme="minorHAnsi"/>
                <w:sz w:val="20"/>
                <w:szCs w:val="20"/>
              </w:rPr>
            </w:pPr>
            <w:r w:rsidRPr="00DD3825">
              <w:t>16</w:t>
            </w:r>
          </w:p>
        </w:tc>
        <w:tc>
          <w:tcPr>
            <w:tcW w:w="1404" w:type="dxa"/>
          </w:tcPr>
          <w:p w:rsidR="00581CDB" w:rsidRPr="00DD3825" w:rsidRDefault="00581CDB" w:rsidP="00FC7AEC">
            <w:pPr>
              <w:rPr>
                <w:rFonts w:asciiTheme="minorHAnsi" w:hAnsiTheme="minorHAnsi" w:cstheme="minorHAnsi"/>
                <w:sz w:val="20"/>
                <w:szCs w:val="20"/>
              </w:rPr>
            </w:pPr>
            <w:r w:rsidRPr="00DD3825">
              <w:t>9</w:t>
            </w:r>
          </w:p>
        </w:tc>
        <w:tc>
          <w:tcPr>
            <w:tcW w:w="1170" w:type="dxa"/>
            <w:noWrap/>
            <w:hideMark/>
          </w:tcPr>
          <w:p w:rsidR="00581CDB" w:rsidRPr="00DD3825" w:rsidRDefault="00581CDB" w:rsidP="00FC7AEC">
            <w:pPr>
              <w:rPr>
                <w:rFonts w:asciiTheme="minorHAnsi" w:hAnsiTheme="minorHAnsi" w:cstheme="minorHAnsi"/>
                <w:sz w:val="20"/>
                <w:szCs w:val="20"/>
              </w:rPr>
            </w:pPr>
            <w:r w:rsidRPr="00DD3825">
              <w:t>18</w:t>
            </w:r>
          </w:p>
        </w:tc>
        <w:tc>
          <w:tcPr>
            <w:tcW w:w="900" w:type="dxa"/>
            <w:noWrap/>
            <w:hideMark/>
          </w:tcPr>
          <w:p w:rsidR="00581CDB" w:rsidRPr="00DD3825" w:rsidRDefault="00581CDB" w:rsidP="00FC7AEC">
            <w:pPr>
              <w:rPr>
                <w:rFonts w:asciiTheme="minorHAnsi" w:hAnsiTheme="minorHAnsi" w:cstheme="minorHAnsi"/>
                <w:sz w:val="20"/>
                <w:szCs w:val="20"/>
              </w:rPr>
            </w:pPr>
            <w:r w:rsidRPr="00DD3825">
              <w:t>15</w:t>
            </w:r>
          </w:p>
        </w:tc>
        <w:tc>
          <w:tcPr>
            <w:tcW w:w="1072" w:type="dxa"/>
            <w:noWrap/>
            <w:hideMark/>
          </w:tcPr>
          <w:p w:rsidR="00581CDB" w:rsidRPr="00DD3825" w:rsidRDefault="00581CDB" w:rsidP="00FC7AEC">
            <w:pPr>
              <w:rPr>
                <w:rFonts w:asciiTheme="minorHAnsi" w:hAnsiTheme="minorHAnsi" w:cstheme="minorHAnsi"/>
                <w:sz w:val="20"/>
                <w:szCs w:val="20"/>
              </w:rPr>
            </w:pPr>
            <w:r w:rsidRPr="00DD3825">
              <w:t>17</w:t>
            </w:r>
          </w:p>
        </w:tc>
      </w:tr>
      <w:tr w:rsidR="00581CDB" w:rsidRPr="00DD3825" w:rsidTr="00FC7AEC">
        <w:trPr>
          <w:cnfStyle w:val="000000010000" w:firstRow="0" w:lastRow="0" w:firstColumn="0" w:lastColumn="0" w:oddVBand="0" w:evenVBand="0" w:oddHBand="0" w:evenHBand="1" w:firstRowFirstColumn="0" w:firstRowLastColumn="0" w:lastRowFirstColumn="0" w:lastRowLastColumn="0"/>
          <w:trHeight w:val="158"/>
          <w:jc w:val="center"/>
        </w:trPr>
        <w:tc>
          <w:tcPr>
            <w:tcW w:w="0" w:type="auto"/>
            <w:noWrap/>
            <w:hideMark/>
          </w:tcPr>
          <w:p w:rsidR="00581CDB" w:rsidRPr="00DD3825" w:rsidRDefault="00581CDB" w:rsidP="00FC7AEC">
            <w:pPr>
              <w:rPr>
                <w:rFonts w:asciiTheme="minorHAnsi" w:hAnsiTheme="minorHAnsi" w:cstheme="minorHAnsi"/>
                <w:sz w:val="20"/>
                <w:szCs w:val="20"/>
              </w:rPr>
            </w:pPr>
            <w:r w:rsidRPr="00DD3825">
              <w:t>2</w:t>
            </w:r>
          </w:p>
        </w:tc>
        <w:tc>
          <w:tcPr>
            <w:tcW w:w="0" w:type="auto"/>
            <w:noWrap/>
            <w:hideMark/>
          </w:tcPr>
          <w:p w:rsidR="00581CDB" w:rsidRPr="00DD3825" w:rsidRDefault="00581CDB" w:rsidP="00FC7AEC">
            <w:pPr>
              <w:rPr>
                <w:rFonts w:asciiTheme="minorHAnsi" w:hAnsiTheme="minorHAnsi" w:cstheme="minorHAnsi"/>
                <w:sz w:val="20"/>
                <w:szCs w:val="20"/>
              </w:rPr>
            </w:pPr>
            <w:r w:rsidRPr="00DD3825">
              <w:t>7</w:t>
            </w:r>
          </w:p>
        </w:tc>
        <w:tc>
          <w:tcPr>
            <w:tcW w:w="0" w:type="auto"/>
            <w:noWrap/>
            <w:hideMark/>
          </w:tcPr>
          <w:p w:rsidR="00581CDB" w:rsidRPr="00DD3825" w:rsidRDefault="00581CDB" w:rsidP="00FC7AEC">
            <w:pPr>
              <w:rPr>
                <w:rFonts w:asciiTheme="minorHAnsi" w:hAnsiTheme="minorHAnsi" w:cstheme="minorHAnsi"/>
                <w:sz w:val="20"/>
                <w:szCs w:val="20"/>
              </w:rPr>
            </w:pPr>
            <w:r w:rsidRPr="00DD3825">
              <w:t>8</w:t>
            </w:r>
          </w:p>
        </w:tc>
        <w:tc>
          <w:tcPr>
            <w:tcW w:w="1404" w:type="dxa"/>
          </w:tcPr>
          <w:p w:rsidR="00581CDB" w:rsidRPr="00DD3825" w:rsidRDefault="00581CDB" w:rsidP="00FC7AEC">
            <w:pPr>
              <w:rPr>
                <w:rFonts w:asciiTheme="minorHAnsi" w:hAnsiTheme="minorHAnsi" w:cstheme="minorHAnsi"/>
                <w:sz w:val="20"/>
                <w:szCs w:val="20"/>
              </w:rPr>
            </w:pPr>
            <w:r w:rsidRPr="00DD3825">
              <w:t>7</w:t>
            </w:r>
          </w:p>
        </w:tc>
        <w:tc>
          <w:tcPr>
            <w:tcW w:w="1170" w:type="dxa"/>
            <w:noWrap/>
            <w:hideMark/>
          </w:tcPr>
          <w:p w:rsidR="00581CDB" w:rsidRPr="00DD3825" w:rsidRDefault="00581CDB" w:rsidP="00FC7AEC">
            <w:pPr>
              <w:rPr>
                <w:rFonts w:asciiTheme="minorHAnsi" w:hAnsiTheme="minorHAnsi" w:cstheme="minorHAnsi"/>
                <w:sz w:val="20"/>
                <w:szCs w:val="20"/>
              </w:rPr>
            </w:pPr>
            <w:r w:rsidRPr="00DD3825">
              <w:t>10</w:t>
            </w:r>
          </w:p>
        </w:tc>
        <w:tc>
          <w:tcPr>
            <w:tcW w:w="900" w:type="dxa"/>
            <w:noWrap/>
            <w:hideMark/>
          </w:tcPr>
          <w:p w:rsidR="00581CDB" w:rsidRPr="00DD3825" w:rsidRDefault="00581CDB" w:rsidP="00FC7AEC">
            <w:pPr>
              <w:rPr>
                <w:rFonts w:asciiTheme="minorHAnsi" w:hAnsiTheme="minorHAnsi" w:cstheme="minorHAnsi"/>
                <w:sz w:val="20"/>
                <w:szCs w:val="20"/>
              </w:rPr>
            </w:pPr>
            <w:r w:rsidRPr="00DD3825">
              <w:t>15</w:t>
            </w:r>
          </w:p>
        </w:tc>
        <w:tc>
          <w:tcPr>
            <w:tcW w:w="1072" w:type="dxa"/>
            <w:noWrap/>
            <w:hideMark/>
          </w:tcPr>
          <w:p w:rsidR="00581CDB" w:rsidRPr="00DD3825" w:rsidRDefault="00581CDB" w:rsidP="00FC7AEC">
            <w:pPr>
              <w:rPr>
                <w:rFonts w:asciiTheme="minorHAnsi" w:hAnsiTheme="minorHAnsi" w:cstheme="minorHAnsi"/>
                <w:sz w:val="20"/>
                <w:szCs w:val="20"/>
              </w:rPr>
            </w:pPr>
            <w:r w:rsidRPr="00DD3825">
              <w:t>17</w:t>
            </w:r>
          </w:p>
        </w:tc>
      </w:tr>
      <w:tr w:rsidR="00581CDB" w:rsidRPr="00DD3825" w:rsidTr="00FC7AEC">
        <w:trPr>
          <w:cnfStyle w:val="000000100000" w:firstRow="0" w:lastRow="0" w:firstColumn="0" w:lastColumn="0" w:oddVBand="0" w:evenVBand="0" w:oddHBand="1" w:evenHBand="0" w:firstRowFirstColumn="0" w:firstRowLastColumn="0" w:lastRowFirstColumn="0" w:lastRowLastColumn="0"/>
          <w:trHeight w:val="158"/>
          <w:jc w:val="center"/>
        </w:trPr>
        <w:tc>
          <w:tcPr>
            <w:tcW w:w="0" w:type="auto"/>
            <w:noWrap/>
            <w:hideMark/>
          </w:tcPr>
          <w:p w:rsidR="00581CDB" w:rsidRPr="00DD3825" w:rsidRDefault="00581CDB" w:rsidP="00FC7AEC">
            <w:pPr>
              <w:rPr>
                <w:rFonts w:asciiTheme="minorHAnsi" w:hAnsiTheme="minorHAnsi" w:cstheme="minorHAnsi"/>
                <w:sz w:val="20"/>
                <w:szCs w:val="20"/>
              </w:rPr>
            </w:pPr>
            <w:r w:rsidRPr="00DD3825">
              <w:t>3</w:t>
            </w:r>
          </w:p>
        </w:tc>
        <w:tc>
          <w:tcPr>
            <w:tcW w:w="0" w:type="auto"/>
            <w:noWrap/>
            <w:hideMark/>
          </w:tcPr>
          <w:p w:rsidR="00581CDB" w:rsidRPr="00DD3825" w:rsidRDefault="00581CDB" w:rsidP="00FC7AEC">
            <w:pPr>
              <w:rPr>
                <w:rFonts w:asciiTheme="minorHAnsi" w:hAnsiTheme="minorHAnsi" w:cstheme="minorHAnsi"/>
                <w:sz w:val="20"/>
                <w:szCs w:val="20"/>
              </w:rPr>
            </w:pPr>
            <w:r w:rsidRPr="00DD3825">
              <w:t>7</w:t>
            </w:r>
          </w:p>
        </w:tc>
        <w:tc>
          <w:tcPr>
            <w:tcW w:w="0" w:type="auto"/>
            <w:noWrap/>
            <w:hideMark/>
          </w:tcPr>
          <w:p w:rsidR="00581CDB" w:rsidRPr="00DD3825" w:rsidRDefault="00581CDB" w:rsidP="00FC7AEC">
            <w:pPr>
              <w:rPr>
                <w:rFonts w:asciiTheme="minorHAnsi" w:hAnsiTheme="minorHAnsi" w:cstheme="minorHAnsi"/>
                <w:sz w:val="20"/>
                <w:szCs w:val="20"/>
              </w:rPr>
            </w:pPr>
            <w:r w:rsidRPr="00DD3825">
              <w:t>8</w:t>
            </w:r>
          </w:p>
        </w:tc>
        <w:tc>
          <w:tcPr>
            <w:tcW w:w="1404" w:type="dxa"/>
          </w:tcPr>
          <w:p w:rsidR="00581CDB" w:rsidRPr="00DD3825" w:rsidRDefault="00581CDB" w:rsidP="00FC7AEC">
            <w:pPr>
              <w:rPr>
                <w:rFonts w:asciiTheme="minorHAnsi" w:hAnsiTheme="minorHAnsi" w:cstheme="minorHAnsi"/>
                <w:sz w:val="20"/>
                <w:szCs w:val="20"/>
              </w:rPr>
            </w:pPr>
            <w:r w:rsidRPr="00DD3825">
              <w:t>7</w:t>
            </w:r>
          </w:p>
        </w:tc>
        <w:tc>
          <w:tcPr>
            <w:tcW w:w="1170" w:type="dxa"/>
            <w:noWrap/>
            <w:hideMark/>
          </w:tcPr>
          <w:p w:rsidR="00581CDB" w:rsidRPr="00DD3825" w:rsidRDefault="00581CDB" w:rsidP="00FC7AEC">
            <w:pPr>
              <w:rPr>
                <w:rFonts w:asciiTheme="minorHAnsi" w:hAnsiTheme="minorHAnsi" w:cstheme="minorHAnsi"/>
                <w:sz w:val="20"/>
                <w:szCs w:val="20"/>
              </w:rPr>
            </w:pPr>
            <w:r w:rsidRPr="00DD3825">
              <w:t>10</w:t>
            </w:r>
          </w:p>
        </w:tc>
        <w:tc>
          <w:tcPr>
            <w:tcW w:w="900" w:type="dxa"/>
            <w:noWrap/>
            <w:hideMark/>
          </w:tcPr>
          <w:p w:rsidR="00581CDB" w:rsidRPr="00DD3825" w:rsidRDefault="00581CDB" w:rsidP="00FC7AEC">
            <w:pPr>
              <w:rPr>
                <w:rFonts w:asciiTheme="minorHAnsi" w:hAnsiTheme="minorHAnsi" w:cstheme="minorHAnsi"/>
                <w:sz w:val="20"/>
                <w:szCs w:val="20"/>
              </w:rPr>
            </w:pPr>
            <w:r w:rsidRPr="00DD3825">
              <w:t>15</w:t>
            </w:r>
          </w:p>
        </w:tc>
        <w:tc>
          <w:tcPr>
            <w:tcW w:w="1072" w:type="dxa"/>
            <w:noWrap/>
            <w:hideMark/>
          </w:tcPr>
          <w:p w:rsidR="00581CDB" w:rsidRPr="00DD3825" w:rsidRDefault="00581CDB" w:rsidP="00FC7AEC">
            <w:pPr>
              <w:rPr>
                <w:rFonts w:asciiTheme="minorHAnsi" w:hAnsiTheme="minorHAnsi" w:cstheme="minorHAnsi"/>
                <w:sz w:val="20"/>
                <w:szCs w:val="20"/>
              </w:rPr>
            </w:pPr>
            <w:r w:rsidRPr="00DD3825">
              <w:t>17</w:t>
            </w:r>
          </w:p>
        </w:tc>
      </w:tr>
      <w:tr w:rsidR="00581CDB" w:rsidRPr="00DD3825" w:rsidTr="00FC7AEC">
        <w:trPr>
          <w:cnfStyle w:val="000000010000" w:firstRow="0" w:lastRow="0" w:firstColumn="0" w:lastColumn="0" w:oddVBand="0" w:evenVBand="0" w:oddHBand="0" w:evenHBand="1" w:firstRowFirstColumn="0" w:firstRowLastColumn="0" w:lastRowFirstColumn="0" w:lastRowLastColumn="0"/>
          <w:trHeight w:val="158"/>
          <w:jc w:val="center"/>
        </w:trPr>
        <w:tc>
          <w:tcPr>
            <w:tcW w:w="0" w:type="auto"/>
            <w:noWrap/>
            <w:hideMark/>
          </w:tcPr>
          <w:p w:rsidR="00581CDB" w:rsidRPr="00DD3825" w:rsidRDefault="00581CDB" w:rsidP="00FC7AEC">
            <w:pPr>
              <w:rPr>
                <w:rFonts w:asciiTheme="minorHAnsi" w:hAnsiTheme="minorHAnsi" w:cstheme="minorHAnsi"/>
                <w:sz w:val="20"/>
                <w:szCs w:val="20"/>
              </w:rPr>
            </w:pPr>
            <w:r w:rsidRPr="00DD3825">
              <w:lastRenderedPageBreak/>
              <w:t>4</w:t>
            </w:r>
          </w:p>
        </w:tc>
        <w:tc>
          <w:tcPr>
            <w:tcW w:w="0" w:type="auto"/>
            <w:noWrap/>
            <w:hideMark/>
          </w:tcPr>
          <w:p w:rsidR="00581CDB" w:rsidRPr="00DD3825" w:rsidRDefault="00581CDB" w:rsidP="00FC7AEC">
            <w:pPr>
              <w:rPr>
                <w:rFonts w:asciiTheme="minorHAnsi" w:hAnsiTheme="minorHAnsi" w:cstheme="minorHAnsi"/>
                <w:sz w:val="20"/>
                <w:szCs w:val="20"/>
              </w:rPr>
            </w:pPr>
            <w:r w:rsidRPr="00DD3825">
              <w:t>9</w:t>
            </w:r>
          </w:p>
        </w:tc>
        <w:tc>
          <w:tcPr>
            <w:tcW w:w="0" w:type="auto"/>
            <w:noWrap/>
            <w:hideMark/>
          </w:tcPr>
          <w:p w:rsidR="00581CDB" w:rsidRPr="00DD3825" w:rsidRDefault="00581CDB" w:rsidP="00FC7AEC">
            <w:pPr>
              <w:rPr>
                <w:rFonts w:asciiTheme="minorHAnsi" w:hAnsiTheme="minorHAnsi" w:cstheme="minorHAnsi"/>
                <w:sz w:val="20"/>
                <w:szCs w:val="20"/>
              </w:rPr>
            </w:pPr>
            <w:r w:rsidRPr="00DD3825">
              <w:t>1</w:t>
            </w:r>
          </w:p>
        </w:tc>
        <w:tc>
          <w:tcPr>
            <w:tcW w:w="1404" w:type="dxa"/>
          </w:tcPr>
          <w:p w:rsidR="00581CDB" w:rsidRPr="00DD3825" w:rsidRDefault="00581CDB" w:rsidP="00FC7AEC">
            <w:pPr>
              <w:rPr>
                <w:rFonts w:asciiTheme="minorHAnsi" w:hAnsiTheme="minorHAnsi" w:cstheme="minorHAnsi"/>
                <w:sz w:val="20"/>
                <w:szCs w:val="20"/>
              </w:rPr>
            </w:pPr>
            <w:r w:rsidRPr="00DD3825">
              <w:t>9</w:t>
            </w:r>
          </w:p>
        </w:tc>
        <w:tc>
          <w:tcPr>
            <w:tcW w:w="1170" w:type="dxa"/>
            <w:noWrap/>
            <w:hideMark/>
          </w:tcPr>
          <w:p w:rsidR="00581CDB" w:rsidRPr="00DD3825" w:rsidRDefault="00581CDB" w:rsidP="00FC7AEC">
            <w:pPr>
              <w:rPr>
                <w:rFonts w:asciiTheme="minorHAnsi" w:hAnsiTheme="minorHAnsi" w:cstheme="minorHAnsi"/>
                <w:sz w:val="20"/>
                <w:szCs w:val="20"/>
              </w:rPr>
            </w:pPr>
            <w:r w:rsidRPr="00DD3825">
              <w:t>3</w:t>
            </w:r>
          </w:p>
        </w:tc>
        <w:tc>
          <w:tcPr>
            <w:tcW w:w="900" w:type="dxa"/>
            <w:noWrap/>
            <w:hideMark/>
          </w:tcPr>
          <w:p w:rsidR="00581CDB" w:rsidRPr="00DD3825" w:rsidRDefault="00581CDB" w:rsidP="00FC7AEC">
            <w:pPr>
              <w:rPr>
                <w:rFonts w:asciiTheme="minorHAnsi" w:hAnsiTheme="minorHAnsi" w:cstheme="minorHAnsi"/>
                <w:sz w:val="20"/>
                <w:szCs w:val="20"/>
              </w:rPr>
            </w:pPr>
            <w:r w:rsidRPr="00DD3825">
              <w:t>15</w:t>
            </w:r>
          </w:p>
        </w:tc>
        <w:tc>
          <w:tcPr>
            <w:tcW w:w="1072" w:type="dxa"/>
            <w:noWrap/>
            <w:hideMark/>
          </w:tcPr>
          <w:p w:rsidR="00581CDB" w:rsidRPr="00DD3825" w:rsidRDefault="00581CDB" w:rsidP="00FC7AEC">
            <w:pPr>
              <w:rPr>
                <w:rFonts w:asciiTheme="minorHAnsi" w:hAnsiTheme="minorHAnsi" w:cstheme="minorHAnsi"/>
                <w:sz w:val="20"/>
                <w:szCs w:val="20"/>
              </w:rPr>
            </w:pPr>
            <w:r w:rsidRPr="00DD3825">
              <w:t>17</w:t>
            </w:r>
          </w:p>
        </w:tc>
      </w:tr>
      <w:tr w:rsidR="00581CDB" w:rsidRPr="00DD3825" w:rsidTr="00FC7AEC">
        <w:trPr>
          <w:cnfStyle w:val="000000100000" w:firstRow="0" w:lastRow="0" w:firstColumn="0" w:lastColumn="0" w:oddVBand="0" w:evenVBand="0" w:oddHBand="1" w:evenHBand="0" w:firstRowFirstColumn="0" w:firstRowLastColumn="0" w:lastRowFirstColumn="0" w:lastRowLastColumn="0"/>
          <w:trHeight w:val="158"/>
          <w:jc w:val="center"/>
        </w:trPr>
        <w:tc>
          <w:tcPr>
            <w:tcW w:w="0" w:type="auto"/>
            <w:noWrap/>
            <w:hideMark/>
          </w:tcPr>
          <w:p w:rsidR="00581CDB" w:rsidRPr="00DD3825" w:rsidRDefault="00581CDB" w:rsidP="00FC7AEC">
            <w:pPr>
              <w:rPr>
                <w:rFonts w:asciiTheme="minorHAnsi" w:hAnsiTheme="minorHAnsi" w:cstheme="minorHAnsi"/>
                <w:sz w:val="20"/>
                <w:szCs w:val="20"/>
              </w:rPr>
            </w:pPr>
            <w:r w:rsidRPr="00DD3825">
              <w:t>5</w:t>
            </w:r>
          </w:p>
        </w:tc>
        <w:tc>
          <w:tcPr>
            <w:tcW w:w="0" w:type="auto"/>
            <w:noWrap/>
            <w:hideMark/>
          </w:tcPr>
          <w:p w:rsidR="00581CDB" w:rsidRPr="00DD3825" w:rsidRDefault="00581CDB" w:rsidP="00FC7AEC">
            <w:pPr>
              <w:rPr>
                <w:rFonts w:asciiTheme="minorHAnsi" w:hAnsiTheme="minorHAnsi" w:cstheme="minorHAnsi"/>
                <w:sz w:val="20"/>
                <w:szCs w:val="20"/>
              </w:rPr>
            </w:pPr>
            <w:r w:rsidRPr="00DD3825">
              <w:t>9</w:t>
            </w:r>
          </w:p>
        </w:tc>
        <w:tc>
          <w:tcPr>
            <w:tcW w:w="0" w:type="auto"/>
            <w:noWrap/>
            <w:hideMark/>
          </w:tcPr>
          <w:p w:rsidR="00581CDB" w:rsidRPr="00DD3825" w:rsidRDefault="00581CDB" w:rsidP="00FC7AEC">
            <w:pPr>
              <w:rPr>
                <w:rFonts w:asciiTheme="minorHAnsi" w:hAnsiTheme="minorHAnsi" w:cstheme="minorHAnsi"/>
                <w:sz w:val="20"/>
                <w:szCs w:val="20"/>
              </w:rPr>
            </w:pPr>
            <w:r w:rsidRPr="00DD3825">
              <w:t>8</w:t>
            </w:r>
          </w:p>
        </w:tc>
        <w:tc>
          <w:tcPr>
            <w:tcW w:w="1404" w:type="dxa"/>
          </w:tcPr>
          <w:p w:rsidR="00581CDB" w:rsidRPr="00DD3825" w:rsidRDefault="00581CDB" w:rsidP="00FC7AEC">
            <w:pPr>
              <w:rPr>
                <w:rFonts w:asciiTheme="minorHAnsi" w:hAnsiTheme="minorHAnsi" w:cstheme="minorHAnsi"/>
                <w:sz w:val="20"/>
                <w:szCs w:val="20"/>
              </w:rPr>
            </w:pPr>
            <w:r w:rsidRPr="00DD3825">
              <w:t>9</w:t>
            </w:r>
          </w:p>
        </w:tc>
        <w:tc>
          <w:tcPr>
            <w:tcW w:w="1170" w:type="dxa"/>
            <w:noWrap/>
            <w:hideMark/>
          </w:tcPr>
          <w:p w:rsidR="00581CDB" w:rsidRPr="00DD3825" w:rsidRDefault="00581CDB" w:rsidP="00FC7AEC">
            <w:pPr>
              <w:rPr>
                <w:rFonts w:asciiTheme="minorHAnsi" w:hAnsiTheme="minorHAnsi" w:cstheme="minorHAnsi"/>
                <w:sz w:val="20"/>
                <w:szCs w:val="20"/>
              </w:rPr>
            </w:pPr>
            <w:r w:rsidRPr="00DD3825">
              <w:t>10</w:t>
            </w:r>
          </w:p>
        </w:tc>
        <w:tc>
          <w:tcPr>
            <w:tcW w:w="900" w:type="dxa"/>
            <w:noWrap/>
            <w:hideMark/>
          </w:tcPr>
          <w:p w:rsidR="00581CDB" w:rsidRPr="00DD3825" w:rsidRDefault="00581CDB" w:rsidP="00FC7AEC">
            <w:pPr>
              <w:rPr>
                <w:rFonts w:asciiTheme="minorHAnsi" w:hAnsiTheme="minorHAnsi" w:cstheme="minorHAnsi"/>
                <w:sz w:val="20"/>
                <w:szCs w:val="20"/>
              </w:rPr>
            </w:pPr>
            <w:r w:rsidRPr="00DD3825">
              <w:t>15</w:t>
            </w:r>
          </w:p>
        </w:tc>
        <w:tc>
          <w:tcPr>
            <w:tcW w:w="1072" w:type="dxa"/>
            <w:noWrap/>
            <w:hideMark/>
          </w:tcPr>
          <w:p w:rsidR="00581CDB" w:rsidRPr="00DD3825" w:rsidRDefault="00581CDB" w:rsidP="00FC7AEC">
            <w:pPr>
              <w:rPr>
                <w:rFonts w:asciiTheme="minorHAnsi" w:hAnsiTheme="minorHAnsi" w:cstheme="minorHAnsi"/>
                <w:sz w:val="20"/>
                <w:szCs w:val="20"/>
              </w:rPr>
            </w:pPr>
            <w:r w:rsidRPr="00DD3825">
              <w:t>17</w:t>
            </w:r>
          </w:p>
        </w:tc>
      </w:tr>
      <w:tr w:rsidR="00581CDB" w:rsidRPr="00DD3825" w:rsidTr="00FC7AEC">
        <w:trPr>
          <w:cnfStyle w:val="000000010000" w:firstRow="0" w:lastRow="0" w:firstColumn="0" w:lastColumn="0" w:oddVBand="0" w:evenVBand="0" w:oddHBand="0" w:evenHBand="1" w:firstRowFirstColumn="0" w:firstRowLastColumn="0" w:lastRowFirstColumn="0" w:lastRowLastColumn="0"/>
          <w:trHeight w:val="158"/>
          <w:jc w:val="center"/>
        </w:trPr>
        <w:tc>
          <w:tcPr>
            <w:tcW w:w="0" w:type="auto"/>
            <w:noWrap/>
            <w:hideMark/>
          </w:tcPr>
          <w:p w:rsidR="00581CDB" w:rsidRPr="00DD3825" w:rsidRDefault="00581CDB" w:rsidP="00FC7AEC">
            <w:pPr>
              <w:rPr>
                <w:rFonts w:asciiTheme="minorHAnsi" w:hAnsiTheme="minorHAnsi" w:cstheme="minorHAnsi"/>
                <w:sz w:val="20"/>
                <w:szCs w:val="20"/>
              </w:rPr>
            </w:pPr>
            <w:r w:rsidRPr="00DD3825">
              <w:t>6</w:t>
            </w:r>
          </w:p>
        </w:tc>
        <w:tc>
          <w:tcPr>
            <w:tcW w:w="0" w:type="auto"/>
            <w:noWrap/>
            <w:hideMark/>
          </w:tcPr>
          <w:p w:rsidR="00581CDB" w:rsidRPr="00DD3825" w:rsidRDefault="00581CDB" w:rsidP="00FC7AEC">
            <w:pPr>
              <w:rPr>
                <w:rFonts w:asciiTheme="minorHAnsi" w:hAnsiTheme="minorHAnsi" w:cstheme="minorHAnsi"/>
                <w:sz w:val="20"/>
                <w:szCs w:val="20"/>
              </w:rPr>
            </w:pPr>
            <w:r w:rsidRPr="00DD3825">
              <w:t>9</w:t>
            </w:r>
          </w:p>
        </w:tc>
        <w:tc>
          <w:tcPr>
            <w:tcW w:w="0" w:type="auto"/>
            <w:noWrap/>
            <w:hideMark/>
          </w:tcPr>
          <w:p w:rsidR="00581CDB" w:rsidRPr="00DD3825" w:rsidRDefault="00581CDB" w:rsidP="00FC7AEC">
            <w:pPr>
              <w:rPr>
                <w:rFonts w:asciiTheme="minorHAnsi" w:hAnsiTheme="minorHAnsi" w:cstheme="minorHAnsi"/>
                <w:sz w:val="20"/>
                <w:szCs w:val="20"/>
              </w:rPr>
            </w:pPr>
            <w:r w:rsidRPr="00DD3825">
              <w:t>1</w:t>
            </w:r>
          </w:p>
        </w:tc>
        <w:tc>
          <w:tcPr>
            <w:tcW w:w="1404" w:type="dxa"/>
          </w:tcPr>
          <w:p w:rsidR="00581CDB" w:rsidRPr="00DD3825" w:rsidRDefault="00581CDB" w:rsidP="00FC7AEC">
            <w:pPr>
              <w:rPr>
                <w:rFonts w:asciiTheme="minorHAnsi" w:hAnsiTheme="minorHAnsi" w:cstheme="minorHAnsi"/>
                <w:sz w:val="20"/>
                <w:szCs w:val="20"/>
              </w:rPr>
            </w:pPr>
            <w:r w:rsidRPr="00DD3825">
              <w:t>9</w:t>
            </w:r>
          </w:p>
        </w:tc>
        <w:tc>
          <w:tcPr>
            <w:tcW w:w="1170" w:type="dxa"/>
            <w:noWrap/>
            <w:hideMark/>
          </w:tcPr>
          <w:p w:rsidR="00581CDB" w:rsidRPr="00DD3825" w:rsidRDefault="00581CDB" w:rsidP="00FC7AEC">
            <w:pPr>
              <w:rPr>
                <w:rFonts w:asciiTheme="minorHAnsi" w:hAnsiTheme="minorHAnsi" w:cstheme="minorHAnsi"/>
                <w:sz w:val="20"/>
                <w:szCs w:val="20"/>
              </w:rPr>
            </w:pPr>
            <w:r w:rsidRPr="00DD3825">
              <w:t>3</w:t>
            </w:r>
          </w:p>
        </w:tc>
        <w:tc>
          <w:tcPr>
            <w:tcW w:w="900" w:type="dxa"/>
            <w:noWrap/>
            <w:hideMark/>
          </w:tcPr>
          <w:p w:rsidR="00581CDB" w:rsidRPr="00DD3825" w:rsidRDefault="00581CDB" w:rsidP="00FC7AEC">
            <w:pPr>
              <w:rPr>
                <w:rFonts w:asciiTheme="minorHAnsi" w:hAnsiTheme="minorHAnsi" w:cstheme="minorHAnsi"/>
                <w:sz w:val="20"/>
                <w:szCs w:val="20"/>
              </w:rPr>
            </w:pPr>
            <w:r w:rsidRPr="00DD3825">
              <w:t>15</w:t>
            </w:r>
          </w:p>
        </w:tc>
        <w:tc>
          <w:tcPr>
            <w:tcW w:w="1072" w:type="dxa"/>
            <w:noWrap/>
            <w:hideMark/>
          </w:tcPr>
          <w:p w:rsidR="00581CDB" w:rsidRPr="00DD3825" w:rsidRDefault="00581CDB" w:rsidP="00FC7AEC">
            <w:pPr>
              <w:rPr>
                <w:rFonts w:asciiTheme="minorHAnsi" w:hAnsiTheme="minorHAnsi" w:cstheme="minorHAnsi"/>
                <w:sz w:val="20"/>
                <w:szCs w:val="20"/>
              </w:rPr>
            </w:pPr>
            <w:r w:rsidRPr="00DD3825">
              <w:t>17</w:t>
            </w:r>
          </w:p>
        </w:tc>
      </w:tr>
      <w:tr w:rsidR="00581CDB" w:rsidRPr="00DD3825" w:rsidTr="00FC7AEC">
        <w:trPr>
          <w:cnfStyle w:val="000000100000" w:firstRow="0" w:lastRow="0" w:firstColumn="0" w:lastColumn="0" w:oddVBand="0" w:evenVBand="0" w:oddHBand="1" w:evenHBand="0" w:firstRowFirstColumn="0" w:firstRowLastColumn="0" w:lastRowFirstColumn="0" w:lastRowLastColumn="0"/>
          <w:trHeight w:val="158"/>
          <w:jc w:val="center"/>
        </w:trPr>
        <w:tc>
          <w:tcPr>
            <w:tcW w:w="0" w:type="auto"/>
            <w:noWrap/>
            <w:hideMark/>
          </w:tcPr>
          <w:p w:rsidR="00581CDB" w:rsidRPr="00DD3825" w:rsidRDefault="00581CDB" w:rsidP="00FC7AEC">
            <w:pPr>
              <w:rPr>
                <w:rFonts w:asciiTheme="minorHAnsi" w:hAnsiTheme="minorHAnsi" w:cstheme="minorHAnsi"/>
                <w:sz w:val="20"/>
                <w:szCs w:val="20"/>
              </w:rPr>
            </w:pPr>
            <w:r w:rsidRPr="00DD3825">
              <w:t>7</w:t>
            </w:r>
          </w:p>
        </w:tc>
        <w:tc>
          <w:tcPr>
            <w:tcW w:w="0" w:type="auto"/>
            <w:noWrap/>
            <w:hideMark/>
          </w:tcPr>
          <w:p w:rsidR="00581CDB" w:rsidRPr="00DD3825" w:rsidRDefault="00581CDB" w:rsidP="00FC7AEC">
            <w:pPr>
              <w:rPr>
                <w:rFonts w:asciiTheme="minorHAnsi" w:hAnsiTheme="minorHAnsi" w:cstheme="minorHAnsi"/>
                <w:sz w:val="20"/>
                <w:szCs w:val="20"/>
              </w:rPr>
            </w:pPr>
            <w:r w:rsidRPr="00DD3825">
              <w:t>9</w:t>
            </w:r>
          </w:p>
        </w:tc>
        <w:tc>
          <w:tcPr>
            <w:tcW w:w="0" w:type="auto"/>
            <w:noWrap/>
            <w:hideMark/>
          </w:tcPr>
          <w:p w:rsidR="00581CDB" w:rsidRPr="00DD3825" w:rsidRDefault="00581CDB" w:rsidP="00FC7AEC">
            <w:pPr>
              <w:rPr>
                <w:rFonts w:asciiTheme="minorHAnsi" w:hAnsiTheme="minorHAnsi" w:cstheme="minorHAnsi"/>
                <w:sz w:val="20"/>
                <w:szCs w:val="20"/>
              </w:rPr>
            </w:pPr>
            <w:r w:rsidRPr="00DD3825">
              <w:t>1</w:t>
            </w:r>
          </w:p>
        </w:tc>
        <w:tc>
          <w:tcPr>
            <w:tcW w:w="1404" w:type="dxa"/>
          </w:tcPr>
          <w:p w:rsidR="00581CDB" w:rsidRPr="00DD3825" w:rsidRDefault="00581CDB" w:rsidP="00FC7AEC">
            <w:pPr>
              <w:rPr>
                <w:rFonts w:asciiTheme="minorHAnsi" w:hAnsiTheme="minorHAnsi" w:cstheme="minorHAnsi"/>
                <w:sz w:val="20"/>
                <w:szCs w:val="20"/>
              </w:rPr>
            </w:pPr>
            <w:r w:rsidRPr="00DD3825">
              <w:t>9</w:t>
            </w:r>
          </w:p>
        </w:tc>
        <w:tc>
          <w:tcPr>
            <w:tcW w:w="1170" w:type="dxa"/>
            <w:noWrap/>
            <w:hideMark/>
          </w:tcPr>
          <w:p w:rsidR="00581CDB" w:rsidRPr="00DD3825" w:rsidRDefault="00581CDB" w:rsidP="00FC7AEC">
            <w:pPr>
              <w:rPr>
                <w:rFonts w:asciiTheme="minorHAnsi" w:hAnsiTheme="minorHAnsi" w:cstheme="minorHAnsi"/>
                <w:sz w:val="20"/>
                <w:szCs w:val="20"/>
              </w:rPr>
            </w:pPr>
            <w:r w:rsidRPr="00DD3825">
              <w:t>3</w:t>
            </w:r>
          </w:p>
        </w:tc>
        <w:tc>
          <w:tcPr>
            <w:tcW w:w="900" w:type="dxa"/>
            <w:noWrap/>
            <w:hideMark/>
          </w:tcPr>
          <w:p w:rsidR="00581CDB" w:rsidRPr="00DD3825" w:rsidRDefault="00581CDB" w:rsidP="00FC7AEC">
            <w:pPr>
              <w:rPr>
                <w:rFonts w:asciiTheme="minorHAnsi" w:hAnsiTheme="minorHAnsi" w:cstheme="minorHAnsi"/>
                <w:sz w:val="20"/>
                <w:szCs w:val="20"/>
              </w:rPr>
            </w:pPr>
            <w:r w:rsidRPr="00DD3825">
              <w:t>15</w:t>
            </w:r>
          </w:p>
        </w:tc>
        <w:tc>
          <w:tcPr>
            <w:tcW w:w="1072" w:type="dxa"/>
            <w:noWrap/>
            <w:hideMark/>
          </w:tcPr>
          <w:p w:rsidR="00581CDB" w:rsidRPr="00DD3825" w:rsidRDefault="00581CDB" w:rsidP="00FC7AEC">
            <w:pPr>
              <w:rPr>
                <w:rFonts w:asciiTheme="minorHAnsi" w:hAnsiTheme="minorHAnsi" w:cstheme="minorHAnsi"/>
                <w:sz w:val="20"/>
                <w:szCs w:val="20"/>
              </w:rPr>
            </w:pPr>
            <w:r w:rsidRPr="00DD3825">
              <w:t>17</w:t>
            </w:r>
          </w:p>
        </w:tc>
      </w:tr>
      <w:tr w:rsidR="00581CDB" w:rsidRPr="00DD3825" w:rsidTr="00FC7AEC">
        <w:trPr>
          <w:cnfStyle w:val="000000010000" w:firstRow="0" w:lastRow="0" w:firstColumn="0" w:lastColumn="0" w:oddVBand="0" w:evenVBand="0" w:oddHBand="0" w:evenHBand="1" w:firstRowFirstColumn="0" w:firstRowLastColumn="0" w:lastRowFirstColumn="0" w:lastRowLastColumn="0"/>
          <w:trHeight w:val="158"/>
          <w:jc w:val="center"/>
        </w:trPr>
        <w:tc>
          <w:tcPr>
            <w:tcW w:w="0" w:type="auto"/>
            <w:noWrap/>
            <w:hideMark/>
          </w:tcPr>
          <w:p w:rsidR="00581CDB" w:rsidRPr="00DD3825" w:rsidRDefault="00581CDB" w:rsidP="00FC7AEC">
            <w:pPr>
              <w:rPr>
                <w:rFonts w:asciiTheme="minorHAnsi" w:hAnsiTheme="minorHAnsi" w:cstheme="minorHAnsi"/>
                <w:sz w:val="20"/>
                <w:szCs w:val="20"/>
              </w:rPr>
            </w:pPr>
            <w:r w:rsidRPr="00DD3825">
              <w:t>8</w:t>
            </w:r>
          </w:p>
        </w:tc>
        <w:tc>
          <w:tcPr>
            <w:tcW w:w="0" w:type="auto"/>
            <w:noWrap/>
            <w:hideMark/>
          </w:tcPr>
          <w:p w:rsidR="00581CDB" w:rsidRPr="00DD3825" w:rsidRDefault="00581CDB" w:rsidP="00FC7AEC">
            <w:pPr>
              <w:rPr>
                <w:rFonts w:asciiTheme="minorHAnsi" w:hAnsiTheme="minorHAnsi" w:cstheme="minorHAnsi"/>
                <w:sz w:val="20"/>
                <w:szCs w:val="20"/>
              </w:rPr>
            </w:pPr>
            <w:r w:rsidRPr="00DD3825">
              <w:t>9</w:t>
            </w:r>
          </w:p>
        </w:tc>
        <w:tc>
          <w:tcPr>
            <w:tcW w:w="0" w:type="auto"/>
            <w:noWrap/>
            <w:hideMark/>
          </w:tcPr>
          <w:p w:rsidR="00581CDB" w:rsidRPr="00DD3825" w:rsidRDefault="00581CDB" w:rsidP="00FC7AEC">
            <w:pPr>
              <w:rPr>
                <w:rFonts w:asciiTheme="minorHAnsi" w:hAnsiTheme="minorHAnsi" w:cstheme="minorHAnsi"/>
                <w:sz w:val="20"/>
                <w:szCs w:val="20"/>
              </w:rPr>
            </w:pPr>
            <w:r w:rsidRPr="00DD3825">
              <w:t>1</w:t>
            </w:r>
          </w:p>
        </w:tc>
        <w:tc>
          <w:tcPr>
            <w:tcW w:w="1404" w:type="dxa"/>
          </w:tcPr>
          <w:p w:rsidR="00581CDB" w:rsidRPr="00DD3825" w:rsidRDefault="00581CDB" w:rsidP="00FC7AEC">
            <w:pPr>
              <w:rPr>
                <w:rFonts w:asciiTheme="minorHAnsi" w:hAnsiTheme="minorHAnsi" w:cstheme="minorHAnsi"/>
                <w:sz w:val="20"/>
                <w:szCs w:val="20"/>
              </w:rPr>
            </w:pPr>
            <w:r w:rsidRPr="00DD3825">
              <w:t>9</w:t>
            </w:r>
          </w:p>
        </w:tc>
        <w:tc>
          <w:tcPr>
            <w:tcW w:w="1170" w:type="dxa"/>
            <w:noWrap/>
            <w:hideMark/>
          </w:tcPr>
          <w:p w:rsidR="00581CDB" w:rsidRPr="00DD3825" w:rsidRDefault="00581CDB" w:rsidP="00FC7AEC">
            <w:pPr>
              <w:rPr>
                <w:rFonts w:asciiTheme="minorHAnsi" w:hAnsiTheme="minorHAnsi" w:cstheme="minorHAnsi"/>
                <w:sz w:val="20"/>
                <w:szCs w:val="20"/>
              </w:rPr>
            </w:pPr>
            <w:r w:rsidRPr="00DD3825">
              <w:t>3</w:t>
            </w:r>
          </w:p>
        </w:tc>
        <w:tc>
          <w:tcPr>
            <w:tcW w:w="900" w:type="dxa"/>
            <w:noWrap/>
            <w:hideMark/>
          </w:tcPr>
          <w:p w:rsidR="00581CDB" w:rsidRPr="00DD3825" w:rsidRDefault="00581CDB" w:rsidP="00FC7AEC">
            <w:pPr>
              <w:rPr>
                <w:rFonts w:asciiTheme="minorHAnsi" w:hAnsiTheme="minorHAnsi" w:cstheme="minorHAnsi"/>
                <w:sz w:val="20"/>
                <w:szCs w:val="20"/>
              </w:rPr>
            </w:pPr>
            <w:r w:rsidRPr="00DD3825">
              <w:t>15</w:t>
            </w:r>
          </w:p>
        </w:tc>
        <w:tc>
          <w:tcPr>
            <w:tcW w:w="1072" w:type="dxa"/>
            <w:noWrap/>
            <w:hideMark/>
          </w:tcPr>
          <w:p w:rsidR="00581CDB" w:rsidRPr="00DD3825" w:rsidRDefault="00581CDB" w:rsidP="00FC7AEC">
            <w:pPr>
              <w:rPr>
                <w:rFonts w:asciiTheme="minorHAnsi" w:hAnsiTheme="minorHAnsi" w:cstheme="minorHAnsi"/>
                <w:sz w:val="20"/>
                <w:szCs w:val="20"/>
              </w:rPr>
            </w:pPr>
            <w:r w:rsidRPr="00DD3825">
              <w:t>17</w:t>
            </w:r>
          </w:p>
        </w:tc>
      </w:tr>
      <w:tr w:rsidR="00581CDB" w:rsidRPr="00DD3825" w:rsidTr="00FC7AEC">
        <w:trPr>
          <w:cnfStyle w:val="000000100000" w:firstRow="0" w:lastRow="0" w:firstColumn="0" w:lastColumn="0" w:oddVBand="0" w:evenVBand="0" w:oddHBand="1" w:evenHBand="0" w:firstRowFirstColumn="0" w:firstRowLastColumn="0" w:lastRowFirstColumn="0" w:lastRowLastColumn="0"/>
          <w:trHeight w:val="158"/>
          <w:jc w:val="center"/>
        </w:trPr>
        <w:tc>
          <w:tcPr>
            <w:tcW w:w="0" w:type="auto"/>
            <w:noWrap/>
            <w:hideMark/>
          </w:tcPr>
          <w:p w:rsidR="00581CDB" w:rsidRPr="00DD3825" w:rsidRDefault="00581CDB" w:rsidP="00FC7AEC">
            <w:pPr>
              <w:rPr>
                <w:rFonts w:asciiTheme="minorHAnsi" w:hAnsiTheme="minorHAnsi" w:cstheme="minorHAnsi"/>
                <w:sz w:val="20"/>
                <w:szCs w:val="20"/>
              </w:rPr>
            </w:pPr>
            <w:r w:rsidRPr="00DD3825">
              <w:t>9</w:t>
            </w:r>
          </w:p>
        </w:tc>
        <w:tc>
          <w:tcPr>
            <w:tcW w:w="0" w:type="auto"/>
            <w:noWrap/>
            <w:hideMark/>
          </w:tcPr>
          <w:p w:rsidR="00581CDB" w:rsidRPr="00DD3825" w:rsidRDefault="00581CDB" w:rsidP="00FC7AEC">
            <w:pPr>
              <w:rPr>
                <w:rFonts w:asciiTheme="minorHAnsi" w:hAnsiTheme="minorHAnsi" w:cstheme="minorHAnsi"/>
                <w:sz w:val="20"/>
                <w:szCs w:val="20"/>
              </w:rPr>
            </w:pPr>
            <w:r w:rsidRPr="00DD3825">
              <w:t>9</w:t>
            </w:r>
          </w:p>
        </w:tc>
        <w:tc>
          <w:tcPr>
            <w:tcW w:w="0" w:type="auto"/>
            <w:noWrap/>
            <w:hideMark/>
          </w:tcPr>
          <w:p w:rsidR="00581CDB" w:rsidRPr="00DD3825" w:rsidRDefault="00581CDB" w:rsidP="00FC7AEC">
            <w:pPr>
              <w:rPr>
                <w:rFonts w:asciiTheme="minorHAnsi" w:hAnsiTheme="minorHAnsi" w:cstheme="minorHAnsi"/>
                <w:sz w:val="20"/>
                <w:szCs w:val="20"/>
              </w:rPr>
            </w:pPr>
            <w:r w:rsidRPr="00DD3825">
              <w:t>1</w:t>
            </w:r>
          </w:p>
        </w:tc>
        <w:tc>
          <w:tcPr>
            <w:tcW w:w="1404" w:type="dxa"/>
          </w:tcPr>
          <w:p w:rsidR="00581CDB" w:rsidRPr="00DD3825" w:rsidRDefault="00581CDB" w:rsidP="00FC7AEC">
            <w:pPr>
              <w:rPr>
                <w:rFonts w:asciiTheme="minorHAnsi" w:hAnsiTheme="minorHAnsi" w:cstheme="minorHAnsi"/>
                <w:sz w:val="20"/>
                <w:szCs w:val="20"/>
              </w:rPr>
            </w:pPr>
            <w:r w:rsidRPr="00DD3825">
              <w:t>9</w:t>
            </w:r>
          </w:p>
        </w:tc>
        <w:tc>
          <w:tcPr>
            <w:tcW w:w="1170" w:type="dxa"/>
            <w:noWrap/>
            <w:hideMark/>
          </w:tcPr>
          <w:p w:rsidR="00581CDB" w:rsidRPr="00DD3825" w:rsidRDefault="00581CDB" w:rsidP="00FC7AEC">
            <w:pPr>
              <w:rPr>
                <w:rFonts w:asciiTheme="minorHAnsi" w:hAnsiTheme="minorHAnsi" w:cstheme="minorHAnsi"/>
                <w:sz w:val="20"/>
                <w:szCs w:val="20"/>
              </w:rPr>
            </w:pPr>
            <w:r w:rsidRPr="00DD3825">
              <w:t>3</w:t>
            </w:r>
          </w:p>
        </w:tc>
        <w:tc>
          <w:tcPr>
            <w:tcW w:w="900" w:type="dxa"/>
            <w:noWrap/>
            <w:hideMark/>
          </w:tcPr>
          <w:p w:rsidR="00581CDB" w:rsidRPr="00DD3825" w:rsidRDefault="00581CDB" w:rsidP="00FC7AEC">
            <w:pPr>
              <w:rPr>
                <w:rFonts w:asciiTheme="minorHAnsi" w:hAnsiTheme="minorHAnsi" w:cstheme="minorHAnsi"/>
                <w:sz w:val="20"/>
                <w:szCs w:val="20"/>
              </w:rPr>
            </w:pPr>
            <w:r w:rsidRPr="00DD3825">
              <w:t>15</w:t>
            </w:r>
          </w:p>
        </w:tc>
        <w:tc>
          <w:tcPr>
            <w:tcW w:w="1072" w:type="dxa"/>
            <w:noWrap/>
            <w:hideMark/>
          </w:tcPr>
          <w:p w:rsidR="00581CDB" w:rsidRPr="00DD3825" w:rsidRDefault="00581CDB" w:rsidP="00FC7AEC">
            <w:pPr>
              <w:rPr>
                <w:rFonts w:asciiTheme="minorHAnsi" w:hAnsiTheme="minorHAnsi" w:cstheme="minorHAnsi"/>
                <w:sz w:val="20"/>
                <w:szCs w:val="20"/>
              </w:rPr>
            </w:pPr>
            <w:r w:rsidRPr="00DD3825">
              <w:t>17</w:t>
            </w:r>
          </w:p>
        </w:tc>
      </w:tr>
      <w:tr w:rsidR="00581CDB" w:rsidRPr="00DD3825" w:rsidTr="00FC7AEC">
        <w:trPr>
          <w:cnfStyle w:val="000000010000" w:firstRow="0" w:lastRow="0" w:firstColumn="0" w:lastColumn="0" w:oddVBand="0" w:evenVBand="0" w:oddHBand="0" w:evenHBand="1" w:firstRowFirstColumn="0" w:firstRowLastColumn="0" w:lastRowFirstColumn="0" w:lastRowLastColumn="0"/>
          <w:trHeight w:val="158"/>
          <w:jc w:val="center"/>
        </w:trPr>
        <w:tc>
          <w:tcPr>
            <w:tcW w:w="0" w:type="auto"/>
            <w:noWrap/>
            <w:hideMark/>
          </w:tcPr>
          <w:p w:rsidR="00581CDB" w:rsidRPr="00DD3825" w:rsidRDefault="00581CDB" w:rsidP="00FC7AEC">
            <w:pPr>
              <w:rPr>
                <w:rFonts w:asciiTheme="minorHAnsi" w:hAnsiTheme="minorHAnsi" w:cstheme="minorHAnsi"/>
                <w:sz w:val="20"/>
                <w:szCs w:val="20"/>
              </w:rPr>
            </w:pPr>
            <w:r w:rsidRPr="00DD3825">
              <w:t>10</w:t>
            </w:r>
          </w:p>
        </w:tc>
        <w:tc>
          <w:tcPr>
            <w:tcW w:w="0" w:type="auto"/>
            <w:noWrap/>
            <w:hideMark/>
          </w:tcPr>
          <w:p w:rsidR="00581CDB" w:rsidRPr="00DD3825" w:rsidRDefault="00581CDB" w:rsidP="00FC7AEC">
            <w:pPr>
              <w:rPr>
                <w:rFonts w:asciiTheme="minorHAnsi" w:hAnsiTheme="minorHAnsi" w:cstheme="minorHAnsi"/>
                <w:sz w:val="20"/>
                <w:szCs w:val="20"/>
              </w:rPr>
            </w:pPr>
            <w:r w:rsidRPr="00DD3825">
              <w:t>9</w:t>
            </w:r>
          </w:p>
        </w:tc>
        <w:tc>
          <w:tcPr>
            <w:tcW w:w="0" w:type="auto"/>
            <w:noWrap/>
            <w:hideMark/>
          </w:tcPr>
          <w:p w:rsidR="00581CDB" w:rsidRPr="00DD3825" w:rsidRDefault="00581CDB" w:rsidP="00FC7AEC">
            <w:pPr>
              <w:rPr>
                <w:rFonts w:asciiTheme="minorHAnsi" w:hAnsiTheme="minorHAnsi" w:cstheme="minorHAnsi"/>
                <w:sz w:val="20"/>
                <w:szCs w:val="20"/>
              </w:rPr>
            </w:pPr>
            <w:r w:rsidRPr="00DD3825">
              <w:t>1</w:t>
            </w:r>
          </w:p>
        </w:tc>
        <w:tc>
          <w:tcPr>
            <w:tcW w:w="1404" w:type="dxa"/>
          </w:tcPr>
          <w:p w:rsidR="00581CDB" w:rsidRPr="00DD3825" w:rsidRDefault="00581CDB" w:rsidP="00FC7AEC">
            <w:pPr>
              <w:rPr>
                <w:rFonts w:asciiTheme="minorHAnsi" w:hAnsiTheme="minorHAnsi" w:cstheme="minorHAnsi"/>
                <w:sz w:val="20"/>
                <w:szCs w:val="20"/>
              </w:rPr>
            </w:pPr>
            <w:r w:rsidRPr="00DD3825">
              <w:t>9</w:t>
            </w:r>
          </w:p>
        </w:tc>
        <w:tc>
          <w:tcPr>
            <w:tcW w:w="1170" w:type="dxa"/>
            <w:noWrap/>
            <w:hideMark/>
          </w:tcPr>
          <w:p w:rsidR="00581CDB" w:rsidRPr="00DD3825" w:rsidRDefault="00581CDB" w:rsidP="00FC7AEC">
            <w:pPr>
              <w:rPr>
                <w:rFonts w:asciiTheme="minorHAnsi" w:hAnsiTheme="minorHAnsi" w:cstheme="minorHAnsi"/>
                <w:sz w:val="20"/>
                <w:szCs w:val="20"/>
              </w:rPr>
            </w:pPr>
            <w:r w:rsidRPr="00DD3825">
              <w:t>3</w:t>
            </w:r>
          </w:p>
        </w:tc>
        <w:tc>
          <w:tcPr>
            <w:tcW w:w="900" w:type="dxa"/>
            <w:noWrap/>
            <w:hideMark/>
          </w:tcPr>
          <w:p w:rsidR="00581CDB" w:rsidRPr="00DD3825" w:rsidRDefault="00581CDB" w:rsidP="00FC7AEC">
            <w:pPr>
              <w:rPr>
                <w:rFonts w:asciiTheme="minorHAnsi" w:hAnsiTheme="minorHAnsi" w:cstheme="minorHAnsi"/>
                <w:sz w:val="20"/>
                <w:szCs w:val="20"/>
              </w:rPr>
            </w:pPr>
            <w:r w:rsidRPr="00DD3825">
              <w:t>15</w:t>
            </w:r>
          </w:p>
        </w:tc>
        <w:tc>
          <w:tcPr>
            <w:tcW w:w="1072" w:type="dxa"/>
            <w:noWrap/>
            <w:hideMark/>
          </w:tcPr>
          <w:p w:rsidR="00581CDB" w:rsidRPr="00DD3825" w:rsidRDefault="00581CDB" w:rsidP="00FC7AEC">
            <w:pPr>
              <w:rPr>
                <w:rFonts w:asciiTheme="minorHAnsi" w:hAnsiTheme="minorHAnsi" w:cstheme="minorHAnsi"/>
                <w:sz w:val="20"/>
                <w:szCs w:val="20"/>
              </w:rPr>
            </w:pPr>
            <w:r w:rsidRPr="00DD3825">
              <w:t>17</w:t>
            </w:r>
          </w:p>
        </w:tc>
      </w:tr>
      <w:tr w:rsidR="00581CDB" w:rsidRPr="00DD3825" w:rsidTr="00FC7AEC">
        <w:trPr>
          <w:cnfStyle w:val="000000100000" w:firstRow="0" w:lastRow="0" w:firstColumn="0" w:lastColumn="0" w:oddVBand="0" w:evenVBand="0" w:oddHBand="1" w:evenHBand="0" w:firstRowFirstColumn="0" w:firstRowLastColumn="0" w:lastRowFirstColumn="0" w:lastRowLastColumn="0"/>
          <w:trHeight w:val="158"/>
          <w:jc w:val="center"/>
        </w:trPr>
        <w:tc>
          <w:tcPr>
            <w:tcW w:w="0" w:type="auto"/>
            <w:noWrap/>
            <w:hideMark/>
          </w:tcPr>
          <w:p w:rsidR="00581CDB" w:rsidRPr="00DD3825" w:rsidRDefault="00581CDB" w:rsidP="00FC7AEC">
            <w:pPr>
              <w:rPr>
                <w:rFonts w:asciiTheme="minorHAnsi" w:hAnsiTheme="minorHAnsi" w:cstheme="minorHAnsi"/>
                <w:sz w:val="20"/>
                <w:szCs w:val="20"/>
              </w:rPr>
            </w:pPr>
            <w:r w:rsidRPr="00DD3825">
              <w:t>11</w:t>
            </w:r>
          </w:p>
        </w:tc>
        <w:tc>
          <w:tcPr>
            <w:tcW w:w="0" w:type="auto"/>
            <w:noWrap/>
            <w:hideMark/>
          </w:tcPr>
          <w:p w:rsidR="00581CDB" w:rsidRPr="00DD3825" w:rsidRDefault="00581CDB" w:rsidP="00FC7AEC">
            <w:pPr>
              <w:rPr>
                <w:rFonts w:asciiTheme="minorHAnsi" w:hAnsiTheme="minorHAnsi" w:cstheme="minorHAnsi"/>
                <w:sz w:val="20"/>
                <w:szCs w:val="20"/>
              </w:rPr>
            </w:pPr>
            <w:r w:rsidRPr="00DD3825">
              <w:t>7</w:t>
            </w:r>
          </w:p>
        </w:tc>
        <w:tc>
          <w:tcPr>
            <w:tcW w:w="0" w:type="auto"/>
            <w:noWrap/>
            <w:hideMark/>
          </w:tcPr>
          <w:p w:rsidR="00581CDB" w:rsidRPr="00DD3825" w:rsidRDefault="00581CDB" w:rsidP="00FC7AEC">
            <w:pPr>
              <w:rPr>
                <w:rFonts w:asciiTheme="minorHAnsi" w:hAnsiTheme="minorHAnsi" w:cstheme="minorHAnsi"/>
                <w:sz w:val="20"/>
                <w:szCs w:val="20"/>
              </w:rPr>
            </w:pPr>
            <w:r w:rsidRPr="00DD3825">
              <w:t>8</w:t>
            </w:r>
          </w:p>
        </w:tc>
        <w:tc>
          <w:tcPr>
            <w:tcW w:w="1404" w:type="dxa"/>
          </w:tcPr>
          <w:p w:rsidR="00581CDB" w:rsidRPr="00DD3825" w:rsidRDefault="00581CDB" w:rsidP="00FC7AEC">
            <w:pPr>
              <w:rPr>
                <w:rFonts w:asciiTheme="minorHAnsi" w:hAnsiTheme="minorHAnsi" w:cstheme="minorHAnsi"/>
                <w:sz w:val="20"/>
                <w:szCs w:val="20"/>
              </w:rPr>
            </w:pPr>
            <w:r w:rsidRPr="00DD3825">
              <w:t>7</w:t>
            </w:r>
          </w:p>
        </w:tc>
        <w:tc>
          <w:tcPr>
            <w:tcW w:w="1170" w:type="dxa"/>
            <w:noWrap/>
            <w:hideMark/>
          </w:tcPr>
          <w:p w:rsidR="00581CDB" w:rsidRPr="00DD3825" w:rsidRDefault="00581CDB" w:rsidP="00FC7AEC">
            <w:pPr>
              <w:rPr>
                <w:rFonts w:asciiTheme="minorHAnsi" w:hAnsiTheme="minorHAnsi" w:cstheme="minorHAnsi"/>
                <w:sz w:val="20"/>
                <w:szCs w:val="20"/>
              </w:rPr>
            </w:pPr>
            <w:r w:rsidRPr="00DD3825">
              <w:t>10</w:t>
            </w:r>
          </w:p>
        </w:tc>
        <w:tc>
          <w:tcPr>
            <w:tcW w:w="900" w:type="dxa"/>
            <w:noWrap/>
            <w:hideMark/>
          </w:tcPr>
          <w:p w:rsidR="00581CDB" w:rsidRPr="00DD3825" w:rsidRDefault="00581CDB" w:rsidP="00FC7AEC">
            <w:pPr>
              <w:rPr>
                <w:rFonts w:asciiTheme="minorHAnsi" w:hAnsiTheme="minorHAnsi" w:cstheme="minorHAnsi"/>
                <w:sz w:val="20"/>
                <w:szCs w:val="20"/>
              </w:rPr>
            </w:pPr>
            <w:r w:rsidRPr="00DD3825">
              <w:t>15</w:t>
            </w:r>
          </w:p>
        </w:tc>
        <w:tc>
          <w:tcPr>
            <w:tcW w:w="1072" w:type="dxa"/>
            <w:noWrap/>
            <w:hideMark/>
          </w:tcPr>
          <w:p w:rsidR="00581CDB" w:rsidRPr="00DD3825" w:rsidRDefault="00581CDB" w:rsidP="00FC7AEC">
            <w:pPr>
              <w:rPr>
                <w:rFonts w:asciiTheme="minorHAnsi" w:hAnsiTheme="minorHAnsi" w:cstheme="minorHAnsi"/>
                <w:sz w:val="20"/>
                <w:szCs w:val="20"/>
              </w:rPr>
            </w:pPr>
            <w:r w:rsidRPr="00DD3825">
              <w:t>17</w:t>
            </w:r>
          </w:p>
        </w:tc>
      </w:tr>
      <w:tr w:rsidR="00581CDB" w:rsidRPr="00DD3825" w:rsidTr="00FC7AEC">
        <w:trPr>
          <w:cnfStyle w:val="000000010000" w:firstRow="0" w:lastRow="0" w:firstColumn="0" w:lastColumn="0" w:oddVBand="0" w:evenVBand="0" w:oddHBand="0" w:evenHBand="1" w:firstRowFirstColumn="0" w:firstRowLastColumn="0" w:lastRowFirstColumn="0" w:lastRowLastColumn="0"/>
          <w:trHeight w:val="158"/>
          <w:jc w:val="center"/>
        </w:trPr>
        <w:tc>
          <w:tcPr>
            <w:tcW w:w="0" w:type="auto"/>
            <w:noWrap/>
            <w:hideMark/>
          </w:tcPr>
          <w:p w:rsidR="00581CDB" w:rsidRPr="00DD3825" w:rsidRDefault="00581CDB" w:rsidP="00FC7AEC">
            <w:pPr>
              <w:rPr>
                <w:rFonts w:asciiTheme="minorHAnsi" w:hAnsiTheme="minorHAnsi" w:cstheme="minorHAnsi"/>
                <w:sz w:val="20"/>
                <w:szCs w:val="20"/>
              </w:rPr>
            </w:pPr>
            <w:r w:rsidRPr="00DD3825">
              <w:t>12</w:t>
            </w:r>
          </w:p>
        </w:tc>
        <w:tc>
          <w:tcPr>
            <w:tcW w:w="0" w:type="auto"/>
            <w:noWrap/>
            <w:hideMark/>
          </w:tcPr>
          <w:p w:rsidR="00581CDB" w:rsidRPr="00DD3825" w:rsidRDefault="00581CDB" w:rsidP="00FC7AEC">
            <w:pPr>
              <w:rPr>
                <w:rFonts w:asciiTheme="minorHAnsi" w:hAnsiTheme="minorHAnsi" w:cstheme="minorHAnsi"/>
                <w:sz w:val="20"/>
                <w:szCs w:val="20"/>
              </w:rPr>
            </w:pPr>
            <w:r w:rsidRPr="00DD3825">
              <w:t>7</w:t>
            </w:r>
          </w:p>
        </w:tc>
        <w:tc>
          <w:tcPr>
            <w:tcW w:w="0" w:type="auto"/>
            <w:noWrap/>
            <w:hideMark/>
          </w:tcPr>
          <w:p w:rsidR="00581CDB" w:rsidRPr="00DD3825" w:rsidRDefault="00581CDB" w:rsidP="00FC7AEC">
            <w:pPr>
              <w:rPr>
                <w:rFonts w:asciiTheme="minorHAnsi" w:hAnsiTheme="minorHAnsi" w:cstheme="minorHAnsi"/>
                <w:sz w:val="20"/>
                <w:szCs w:val="20"/>
              </w:rPr>
            </w:pPr>
            <w:r w:rsidRPr="00DD3825">
              <w:t>8</w:t>
            </w:r>
          </w:p>
        </w:tc>
        <w:tc>
          <w:tcPr>
            <w:tcW w:w="1404" w:type="dxa"/>
          </w:tcPr>
          <w:p w:rsidR="00581CDB" w:rsidRPr="00DD3825" w:rsidRDefault="00581CDB" w:rsidP="00FC7AEC">
            <w:pPr>
              <w:rPr>
                <w:rFonts w:asciiTheme="minorHAnsi" w:hAnsiTheme="minorHAnsi" w:cstheme="minorHAnsi"/>
                <w:sz w:val="20"/>
                <w:szCs w:val="20"/>
              </w:rPr>
            </w:pPr>
            <w:r w:rsidRPr="00DD3825">
              <w:t>7</w:t>
            </w:r>
          </w:p>
        </w:tc>
        <w:tc>
          <w:tcPr>
            <w:tcW w:w="1170" w:type="dxa"/>
            <w:noWrap/>
            <w:hideMark/>
          </w:tcPr>
          <w:p w:rsidR="00581CDB" w:rsidRPr="00DD3825" w:rsidRDefault="00581CDB" w:rsidP="00FC7AEC">
            <w:pPr>
              <w:rPr>
                <w:rFonts w:asciiTheme="minorHAnsi" w:hAnsiTheme="minorHAnsi" w:cstheme="minorHAnsi"/>
                <w:sz w:val="20"/>
                <w:szCs w:val="20"/>
              </w:rPr>
            </w:pPr>
            <w:r w:rsidRPr="00DD3825">
              <w:t>10</w:t>
            </w:r>
          </w:p>
        </w:tc>
        <w:tc>
          <w:tcPr>
            <w:tcW w:w="900" w:type="dxa"/>
            <w:noWrap/>
            <w:hideMark/>
          </w:tcPr>
          <w:p w:rsidR="00581CDB" w:rsidRPr="00DD3825" w:rsidRDefault="00581CDB" w:rsidP="00FC7AEC">
            <w:pPr>
              <w:rPr>
                <w:rFonts w:asciiTheme="minorHAnsi" w:hAnsiTheme="minorHAnsi" w:cstheme="minorHAnsi"/>
                <w:sz w:val="20"/>
                <w:szCs w:val="20"/>
              </w:rPr>
            </w:pPr>
            <w:r w:rsidRPr="00DD3825">
              <w:t>15</w:t>
            </w:r>
          </w:p>
        </w:tc>
        <w:tc>
          <w:tcPr>
            <w:tcW w:w="1072" w:type="dxa"/>
            <w:noWrap/>
            <w:hideMark/>
          </w:tcPr>
          <w:p w:rsidR="00581CDB" w:rsidRPr="00DD3825" w:rsidRDefault="00581CDB" w:rsidP="00FC7AEC">
            <w:pPr>
              <w:rPr>
                <w:rFonts w:asciiTheme="minorHAnsi" w:hAnsiTheme="minorHAnsi" w:cstheme="minorHAnsi"/>
                <w:sz w:val="20"/>
                <w:szCs w:val="20"/>
              </w:rPr>
            </w:pPr>
            <w:r w:rsidRPr="00DD3825">
              <w:t>17</w:t>
            </w:r>
          </w:p>
        </w:tc>
      </w:tr>
      <w:tr w:rsidR="00581CDB" w:rsidRPr="00DD3825" w:rsidTr="00FC7AEC">
        <w:trPr>
          <w:cnfStyle w:val="000000100000" w:firstRow="0" w:lastRow="0" w:firstColumn="0" w:lastColumn="0" w:oddVBand="0" w:evenVBand="0" w:oddHBand="1" w:evenHBand="0" w:firstRowFirstColumn="0" w:firstRowLastColumn="0" w:lastRowFirstColumn="0" w:lastRowLastColumn="0"/>
          <w:trHeight w:val="158"/>
          <w:jc w:val="center"/>
        </w:trPr>
        <w:tc>
          <w:tcPr>
            <w:tcW w:w="0" w:type="auto"/>
            <w:noWrap/>
            <w:hideMark/>
          </w:tcPr>
          <w:p w:rsidR="00581CDB" w:rsidRPr="00DD3825" w:rsidRDefault="00581CDB" w:rsidP="00FC7AEC">
            <w:pPr>
              <w:rPr>
                <w:rFonts w:asciiTheme="minorHAnsi" w:hAnsiTheme="minorHAnsi" w:cstheme="minorHAnsi"/>
                <w:sz w:val="20"/>
                <w:szCs w:val="20"/>
              </w:rPr>
            </w:pPr>
            <w:r w:rsidRPr="00DD3825">
              <w:t>13</w:t>
            </w:r>
          </w:p>
        </w:tc>
        <w:tc>
          <w:tcPr>
            <w:tcW w:w="0" w:type="auto"/>
            <w:noWrap/>
            <w:hideMark/>
          </w:tcPr>
          <w:p w:rsidR="00581CDB" w:rsidRPr="00DD3825" w:rsidRDefault="00581CDB" w:rsidP="00FC7AEC">
            <w:pPr>
              <w:rPr>
                <w:rFonts w:asciiTheme="minorHAnsi" w:hAnsiTheme="minorHAnsi" w:cstheme="minorHAnsi"/>
                <w:sz w:val="20"/>
                <w:szCs w:val="20"/>
              </w:rPr>
            </w:pPr>
            <w:r w:rsidRPr="00DD3825">
              <w:t>7</w:t>
            </w:r>
          </w:p>
        </w:tc>
        <w:tc>
          <w:tcPr>
            <w:tcW w:w="0" w:type="auto"/>
            <w:noWrap/>
            <w:hideMark/>
          </w:tcPr>
          <w:p w:rsidR="00581CDB" w:rsidRPr="00DD3825" w:rsidRDefault="00581CDB" w:rsidP="00FC7AEC">
            <w:pPr>
              <w:rPr>
                <w:rFonts w:asciiTheme="minorHAnsi" w:hAnsiTheme="minorHAnsi" w:cstheme="minorHAnsi"/>
                <w:sz w:val="20"/>
                <w:szCs w:val="20"/>
              </w:rPr>
            </w:pPr>
            <w:r w:rsidRPr="00DD3825">
              <w:t>8</w:t>
            </w:r>
          </w:p>
        </w:tc>
        <w:tc>
          <w:tcPr>
            <w:tcW w:w="1404" w:type="dxa"/>
          </w:tcPr>
          <w:p w:rsidR="00581CDB" w:rsidRPr="00DD3825" w:rsidRDefault="00581CDB" w:rsidP="00FC7AEC">
            <w:pPr>
              <w:rPr>
                <w:rFonts w:asciiTheme="minorHAnsi" w:hAnsiTheme="minorHAnsi" w:cstheme="minorHAnsi"/>
                <w:sz w:val="20"/>
                <w:szCs w:val="20"/>
              </w:rPr>
            </w:pPr>
            <w:r w:rsidRPr="00DD3825">
              <w:t>7</w:t>
            </w:r>
          </w:p>
        </w:tc>
        <w:tc>
          <w:tcPr>
            <w:tcW w:w="1170" w:type="dxa"/>
            <w:noWrap/>
            <w:hideMark/>
          </w:tcPr>
          <w:p w:rsidR="00581CDB" w:rsidRPr="00DD3825" w:rsidRDefault="00581CDB" w:rsidP="00FC7AEC">
            <w:pPr>
              <w:rPr>
                <w:rFonts w:asciiTheme="minorHAnsi" w:hAnsiTheme="minorHAnsi" w:cstheme="minorHAnsi"/>
                <w:sz w:val="20"/>
                <w:szCs w:val="20"/>
              </w:rPr>
            </w:pPr>
            <w:r w:rsidRPr="00DD3825">
              <w:t>10</w:t>
            </w:r>
          </w:p>
        </w:tc>
        <w:tc>
          <w:tcPr>
            <w:tcW w:w="900" w:type="dxa"/>
            <w:noWrap/>
            <w:hideMark/>
          </w:tcPr>
          <w:p w:rsidR="00581CDB" w:rsidRPr="00DD3825" w:rsidRDefault="00581CDB" w:rsidP="00FC7AEC">
            <w:pPr>
              <w:rPr>
                <w:rFonts w:asciiTheme="minorHAnsi" w:hAnsiTheme="minorHAnsi" w:cstheme="minorHAnsi"/>
                <w:sz w:val="20"/>
                <w:szCs w:val="20"/>
              </w:rPr>
            </w:pPr>
            <w:r w:rsidRPr="00DD3825">
              <w:t>15</w:t>
            </w:r>
          </w:p>
        </w:tc>
        <w:tc>
          <w:tcPr>
            <w:tcW w:w="1072" w:type="dxa"/>
            <w:noWrap/>
            <w:hideMark/>
          </w:tcPr>
          <w:p w:rsidR="00581CDB" w:rsidRPr="00DD3825" w:rsidRDefault="00581CDB" w:rsidP="00FC7AEC">
            <w:pPr>
              <w:rPr>
                <w:rFonts w:asciiTheme="minorHAnsi" w:hAnsiTheme="minorHAnsi" w:cstheme="minorHAnsi"/>
                <w:sz w:val="20"/>
                <w:szCs w:val="20"/>
              </w:rPr>
            </w:pPr>
            <w:r w:rsidRPr="00DD3825">
              <w:t>17</w:t>
            </w:r>
          </w:p>
        </w:tc>
      </w:tr>
      <w:tr w:rsidR="00581CDB" w:rsidRPr="00DD3825" w:rsidTr="00FC7AEC">
        <w:trPr>
          <w:cnfStyle w:val="000000010000" w:firstRow="0" w:lastRow="0" w:firstColumn="0" w:lastColumn="0" w:oddVBand="0" w:evenVBand="0" w:oddHBand="0" w:evenHBand="1" w:firstRowFirstColumn="0" w:firstRowLastColumn="0" w:lastRowFirstColumn="0" w:lastRowLastColumn="0"/>
          <w:trHeight w:val="158"/>
          <w:jc w:val="center"/>
        </w:trPr>
        <w:tc>
          <w:tcPr>
            <w:tcW w:w="0" w:type="auto"/>
            <w:noWrap/>
            <w:hideMark/>
          </w:tcPr>
          <w:p w:rsidR="00581CDB" w:rsidRPr="00DD3825" w:rsidRDefault="00581CDB" w:rsidP="00FC7AEC">
            <w:pPr>
              <w:rPr>
                <w:rFonts w:asciiTheme="minorHAnsi" w:hAnsiTheme="minorHAnsi" w:cstheme="minorHAnsi"/>
                <w:sz w:val="20"/>
                <w:szCs w:val="20"/>
              </w:rPr>
            </w:pPr>
            <w:r w:rsidRPr="00DD3825">
              <w:t>14</w:t>
            </w:r>
          </w:p>
        </w:tc>
        <w:tc>
          <w:tcPr>
            <w:tcW w:w="0" w:type="auto"/>
            <w:noWrap/>
            <w:hideMark/>
          </w:tcPr>
          <w:p w:rsidR="00581CDB" w:rsidRPr="00DD3825" w:rsidRDefault="00581CDB" w:rsidP="00FC7AEC">
            <w:pPr>
              <w:rPr>
                <w:rFonts w:asciiTheme="minorHAnsi" w:hAnsiTheme="minorHAnsi" w:cstheme="minorHAnsi"/>
                <w:sz w:val="20"/>
                <w:szCs w:val="20"/>
              </w:rPr>
            </w:pPr>
            <w:r w:rsidRPr="00DD3825">
              <w:t>8</w:t>
            </w:r>
          </w:p>
        </w:tc>
        <w:tc>
          <w:tcPr>
            <w:tcW w:w="0" w:type="auto"/>
            <w:noWrap/>
            <w:hideMark/>
          </w:tcPr>
          <w:p w:rsidR="00581CDB" w:rsidRPr="00DD3825" w:rsidRDefault="00581CDB" w:rsidP="00FC7AEC">
            <w:pPr>
              <w:rPr>
                <w:rFonts w:asciiTheme="minorHAnsi" w:hAnsiTheme="minorHAnsi" w:cstheme="minorHAnsi"/>
                <w:sz w:val="20"/>
                <w:szCs w:val="20"/>
              </w:rPr>
            </w:pPr>
            <w:r w:rsidRPr="00DD3825">
              <w:t>26</w:t>
            </w:r>
          </w:p>
        </w:tc>
        <w:tc>
          <w:tcPr>
            <w:tcW w:w="1404" w:type="dxa"/>
          </w:tcPr>
          <w:p w:rsidR="00581CDB" w:rsidRPr="00DD3825" w:rsidRDefault="00581CDB" w:rsidP="00FC7AEC">
            <w:pPr>
              <w:rPr>
                <w:rFonts w:asciiTheme="minorHAnsi" w:hAnsiTheme="minorHAnsi" w:cstheme="minorHAnsi"/>
                <w:sz w:val="20"/>
                <w:szCs w:val="20"/>
              </w:rPr>
            </w:pPr>
            <w:r w:rsidRPr="00DD3825">
              <w:t>8</w:t>
            </w:r>
          </w:p>
        </w:tc>
        <w:tc>
          <w:tcPr>
            <w:tcW w:w="1170" w:type="dxa"/>
            <w:noWrap/>
            <w:hideMark/>
          </w:tcPr>
          <w:p w:rsidR="00581CDB" w:rsidRPr="00DD3825" w:rsidRDefault="00581CDB" w:rsidP="00FC7AEC">
            <w:pPr>
              <w:rPr>
                <w:rFonts w:asciiTheme="minorHAnsi" w:hAnsiTheme="minorHAnsi" w:cstheme="minorHAnsi"/>
                <w:sz w:val="20"/>
                <w:szCs w:val="20"/>
              </w:rPr>
            </w:pPr>
            <w:r w:rsidRPr="00DD3825">
              <w:t>28</w:t>
            </w:r>
          </w:p>
        </w:tc>
        <w:tc>
          <w:tcPr>
            <w:tcW w:w="900" w:type="dxa"/>
            <w:noWrap/>
            <w:hideMark/>
          </w:tcPr>
          <w:p w:rsidR="00581CDB" w:rsidRPr="00DD3825" w:rsidRDefault="00581CDB" w:rsidP="00FC7AEC">
            <w:pPr>
              <w:rPr>
                <w:rFonts w:asciiTheme="minorHAnsi" w:hAnsiTheme="minorHAnsi" w:cstheme="minorHAnsi"/>
                <w:sz w:val="20"/>
                <w:szCs w:val="20"/>
              </w:rPr>
            </w:pPr>
            <w:r w:rsidRPr="00DD3825">
              <w:t>15</w:t>
            </w:r>
          </w:p>
        </w:tc>
        <w:tc>
          <w:tcPr>
            <w:tcW w:w="1072" w:type="dxa"/>
            <w:noWrap/>
            <w:hideMark/>
          </w:tcPr>
          <w:p w:rsidR="00581CDB" w:rsidRPr="00DD3825" w:rsidRDefault="00581CDB" w:rsidP="00FC7AEC">
            <w:pPr>
              <w:rPr>
                <w:rFonts w:asciiTheme="minorHAnsi" w:hAnsiTheme="minorHAnsi" w:cstheme="minorHAnsi"/>
                <w:sz w:val="20"/>
                <w:szCs w:val="20"/>
              </w:rPr>
            </w:pPr>
            <w:r w:rsidRPr="00DD3825">
              <w:t>17</w:t>
            </w:r>
          </w:p>
        </w:tc>
      </w:tr>
      <w:tr w:rsidR="00581CDB" w:rsidRPr="00DD3825" w:rsidTr="00FC7AEC">
        <w:trPr>
          <w:cnfStyle w:val="000000100000" w:firstRow="0" w:lastRow="0" w:firstColumn="0" w:lastColumn="0" w:oddVBand="0" w:evenVBand="0" w:oddHBand="1" w:evenHBand="0" w:firstRowFirstColumn="0" w:firstRowLastColumn="0" w:lastRowFirstColumn="0" w:lastRowLastColumn="0"/>
          <w:trHeight w:val="158"/>
          <w:jc w:val="center"/>
        </w:trPr>
        <w:tc>
          <w:tcPr>
            <w:tcW w:w="0" w:type="auto"/>
            <w:noWrap/>
            <w:hideMark/>
          </w:tcPr>
          <w:p w:rsidR="00581CDB" w:rsidRPr="00DD3825" w:rsidRDefault="00581CDB" w:rsidP="00FC7AEC">
            <w:pPr>
              <w:rPr>
                <w:rFonts w:asciiTheme="minorHAnsi" w:hAnsiTheme="minorHAnsi" w:cstheme="minorHAnsi"/>
                <w:sz w:val="20"/>
                <w:szCs w:val="20"/>
              </w:rPr>
            </w:pPr>
            <w:r w:rsidRPr="00DD3825">
              <w:t>15</w:t>
            </w:r>
          </w:p>
        </w:tc>
        <w:tc>
          <w:tcPr>
            <w:tcW w:w="0" w:type="auto"/>
            <w:noWrap/>
            <w:hideMark/>
          </w:tcPr>
          <w:p w:rsidR="00581CDB" w:rsidRPr="00DD3825" w:rsidRDefault="00581CDB" w:rsidP="00FC7AEC">
            <w:pPr>
              <w:rPr>
                <w:rFonts w:asciiTheme="minorHAnsi" w:hAnsiTheme="minorHAnsi" w:cstheme="minorHAnsi"/>
                <w:sz w:val="20"/>
                <w:szCs w:val="20"/>
              </w:rPr>
            </w:pPr>
            <w:r w:rsidRPr="00DD3825">
              <w:t>8</w:t>
            </w:r>
          </w:p>
        </w:tc>
        <w:tc>
          <w:tcPr>
            <w:tcW w:w="0" w:type="auto"/>
            <w:noWrap/>
            <w:hideMark/>
          </w:tcPr>
          <w:p w:rsidR="00581CDB" w:rsidRPr="00DD3825" w:rsidRDefault="00581CDB" w:rsidP="00FC7AEC">
            <w:pPr>
              <w:rPr>
                <w:rFonts w:asciiTheme="minorHAnsi" w:hAnsiTheme="minorHAnsi" w:cstheme="minorHAnsi"/>
                <w:sz w:val="20"/>
                <w:szCs w:val="20"/>
              </w:rPr>
            </w:pPr>
            <w:r w:rsidRPr="00DD3825">
              <w:t>25</w:t>
            </w:r>
          </w:p>
        </w:tc>
        <w:tc>
          <w:tcPr>
            <w:tcW w:w="1404" w:type="dxa"/>
          </w:tcPr>
          <w:p w:rsidR="00581CDB" w:rsidRPr="00DD3825" w:rsidRDefault="00581CDB" w:rsidP="00FC7AEC">
            <w:pPr>
              <w:rPr>
                <w:rFonts w:asciiTheme="minorHAnsi" w:hAnsiTheme="minorHAnsi" w:cstheme="minorHAnsi"/>
                <w:sz w:val="20"/>
                <w:szCs w:val="20"/>
              </w:rPr>
            </w:pPr>
            <w:r w:rsidRPr="00DD3825">
              <w:t>8</w:t>
            </w:r>
          </w:p>
        </w:tc>
        <w:tc>
          <w:tcPr>
            <w:tcW w:w="1170" w:type="dxa"/>
            <w:noWrap/>
            <w:hideMark/>
          </w:tcPr>
          <w:p w:rsidR="00581CDB" w:rsidRPr="00DD3825" w:rsidRDefault="00581CDB" w:rsidP="00FC7AEC">
            <w:pPr>
              <w:rPr>
                <w:rFonts w:asciiTheme="minorHAnsi" w:hAnsiTheme="minorHAnsi" w:cstheme="minorHAnsi"/>
                <w:sz w:val="20"/>
                <w:szCs w:val="20"/>
              </w:rPr>
            </w:pPr>
            <w:r w:rsidRPr="00DD3825">
              <w:t>27</w:t>
            </w:r>
          </w:p>
        </w:tc>
        <w:tc>
          <w:tcPr>
            <w:tcW w:w="900" w:type="dxa"/>
            <w:noWrap/>
            <w:hideMark/>
          </w:tcPr>
          <w:p w:rsidR="00581CDB" w:rsidRPr="00DD3825" w:rsidRDefault="00581CDB" w:rsidP="00FC7AEC">
            <w:pPr>
              <w:rPr>
                <w:rFonts w:asciiTheme="minorHAnsi" w:hAnsiTheme="minorHAnsi" w:cstheme="minorHAnsi"/>
                <w:sz w:val="20"/>
                <w:szCs w:val="20"/>
              </w:rPr>
            </w:pPr>
            <w:r w:rsidRPr="00DD3825">
              <w:t>15</w:t>
            </w:r>
          </w:p>
        </w:tc>
        <w:tc>
          <w:tcPr>
            <w:tcW w:w="1072" w:type="dxa"/>
            <w:noWrap/>
            <w:hideMark/>
          </w:tcPr>
          <w:p w:rsidR="00581CDB" w:rsidRPr="00DD3825" w:rsidRDefault="00581CDB" w:rsidP="00FC7AEC">
            <w:pPr>
              <w:rPr>
                <w:rFonts w:asciiTheme="minorHAnsi" w:hAnsiTheme="minorHAnsi" w:cstheme="minorHAnsi"/>
                <w:sz w:val="20"/>
                <w:szCs w:val="20"/>
              </w:rPr>
            </w:pPr>
            <w:r w:rsidRPr="00DD3825">
              <w:t>17</w:t>
            </w:r>
          </w:p>
        </w:tc>
      </w:tr>
      <w:tr w:rsidR="00581CDB" w:rsidRPr="00DD3825" w:rsidTr="00FC7AEC">
        <w:trPr>
          <w:cnfStyle w:val="000000010000" w:firstRow="0" w:lastRow="0" w:firstColumn="0" w:lastColumn="0" w:oddVBand="0" w:evenVBand="0" w:oddHBand="0" w:evenHBand="1" w:firstRowFirstColumn="0" w:firstRowLastColumn="0" w:lastRowFirstColumn="0" w:lastRowLastColumn="0"/>
          <w:trHeight w:val="158"/>
          <w:jc w:val="center"/>
        </w:trPr>
        <w:tc>
          <w:tcPr>
            <w:tcW w:w="0" w:type="auto"/>
            <w:noWrap/>
            <w:hideMark/>
          </w:tcPr>
          <w:p w:rsidR="00581CDB" w:rsidRPr="00DD3825" w:rsidRDefault="00581CDB" w:rsidP="00FC7AEC">
            <w:pPr>
              <w:rPr>
                <w:rFonts w:asciiTheme="minorHAnsi" w:hAnsiTheme="minorHAnsi" w:cstheme="minorHAnsi"/>
                <w:sz w:val="20"/>
                <w:szCs w:val="20"/>
              </w:rPr>
            </w:pPr>
            <w:r w:rsidRPr="00DD3825">
              <w:t>16</w:t>
            </w:r>
          </w:p>
        </w:tc>
        <w:tc>
          <w:tcPr>
            <w:tcW w:w="0" w:type="auto"/>
            <w:noWrap/>
            <w:hideMark/>
          </w:tcPr>
          <w:p w:rsidR="00581CDB" w:rsidRPr="00DD3825" w:rsidRDefault="00581CDB" w:rsidP="00FC7AEC">
            <w:pPr>
              <w:rPr>
                <w:rFonts w:asciiTheme="minorHAnsi" w:hAnsiTheme="minorHAnsi" w:cstheme="minorHAnsi"/>
                <w:sz w:val="20"/>
                <w:szCs w:val="20"/>
              </w:rPr>
            </w:pPr>
            <w:r w:rsidRPr="00DD3825">
              <w:t>7</w:t>
            </w:r>
          </w:p>
        </w:tc>
        <w:tc>
          <w:tcPr>
            <w:tcW w:w="0" w:type="auto"/>
            <w:noWrap/>
            <w:hideMark/>
          </w:tcPr>
          <w:p w:rsidR="00581CDB" w:rsidRPr="00DD3825" w:rsidRDefault="00581CDB" w:rsidP="00FC7AEC">
            <w:pPr>
              <w:rPr>
                <w:rFonts w:asciiTheme="minorHAnsi" w:hAnsiTheme="minorHAnsi" w:cstheme="minorHAnsi"/>
                <w:sz w:val="20"/>
                <w:szCs w:val="20"/>
              </w:rPr>
            </w:pPr>
            <w:r w:rsidRPr="00DD3825">
              <w:t>8</w:t>
            </w:r>
          </w:p>
        </w:tc>
        <w:tc>
          <w:tcPr>
            <w:tcW w:w="1404" w:type="dxa"/>
          </w:tcPr>
          <w:p w:rsidR="00581CDB" w:rsidRPr="00DD3825" w:rsidRDefault="00581CDB" w:rsidP="00FC7AEC">
            <w:pPr>
              <w:rPr>
                <w:rFonts w:asciiTheme="minorHAnsi" w:hAnsiTheme="minorHAnsi" w:cstheme="minorHAnsi"/>
                <w:sz w:val="20"/>
                <w:szCs w:val="20"/>
              </w:rPr>
            </w:pPr>
            <w:r w:rsidRPr="00DD3825">
              <w:t>7</w:t>
            </w:r>
          </w:p>
        </w:tc>
        <w:tc>
          <w:tcPr>
            <w:tcW w:w="1170" w:type="dxa"/>
            <w:noWrap/>
            <w:hideMark/>
          </w:tcPr>
          <w:p w:rsidR="00581CDB" w:rsidRPr="00DD3825" w:rsidRDefault="00581CDB" w:rsidP="00FC7AEC">
            <w:pPr>
              <w:rPr>
                <w:rFonts w:asciiTheme="minorHAnsi" w:hAnsiTheme="minorHAnsi" w:cstheme="minorHAnsi"/>
                <w:sz w:val="20"/>
                <w:szCs w:val="20"/>
              </w:rPr>
            </w:pPr>
            <w:r w:rsidRPr="00DD3825">
              <w:t>10</w:t>
            </w:r>
          </w:p>
        </w:tc>
        <w:tc>
          <w:tcPr>
            <w:tcW w:w="900" w:type="dxa"/>
            <w:noWrap/>
            <w:hideMark/>
          </w:tcPr>
          <w:p w:rsidR="00581CDB" w:rsidRPr="00DD3825" w:rsidRDefault="00581CDB" w:rsidP="00FC7AEC">
            <w:pPr>
              <w:rPr>
                <w:rFonts w:asciiTheme="minorHAnsi" w:hAnsiTheme="minorHAnsi" w:cstheme="minorHAnsi"/>
                <w:sz w:val="20"/>
                <w:szCs w:val="20"/>
              </w:rPr>
            </w:pPr>
            <w:r w:rsidRPr="00DD3825">
              <w:t>15</w:t>
            </w:r>
          </w:p>
        </w:tc>
        <w:tc>
          <w:tcPr>
            <w:tcW w:w="1072" w:type="dxa"/>
            <w:noWrap/>
            <w:hideMark/>
          </w:tcPr>
          <w:p w:rsidR="00581CDB" w:rsidRPr="00DD3825" w:rsidRDefault="00581CDB" w:rsidP="00FC7AEC">
            <w:pPr>
              <w:rPr>
                <w:rFonts w:asciiTheme="minorHAnsi" w:hAnsiTheme="minorHAnsi" w:cstheme="minorHAnsi"/>
                <w:sz w:val="20"/>
                <w:szCs w:val="20"/>
              </w:rPr>
            </w:pPr>
            <w:r w:rsidRPr="00DD3825">
              <w:t>17</w:t>
            </w:r>
          </w:p>
        </w:tc>
      </w:tr>
    </w:tbl>
    <w:p w:rsidR="00542990" w:rsidRPr="00DD3825" w:rsidRDefault="00542990" w:rsidP="00FC7AEC">
      <w:pPr>
        <w:rPr>
          <w:rFonts w:cs="Arial"/>
          <w:sz w:val="20"/>
          <w:szCs w:val="20"/>
        </w:rPr>
      </w:pPr>
    </w:p>
    <w:p w:rsidR="002E743C" w:rsidRPr="00DD3825" w:rsidRDefault="002E743C" w:rsidP="008D6285">
      <w:r w:rsidRPr="00DD3825">
        <w:t>Hourly peak demand from the nine hours defined for each climate zone is averaged for each climate zone. The following equation is then used to determine demand reduction per ton of cooling capacity.</w:t>
      </w:r>
    </w:p>
    <w:p w:rsidR="002E743C" w:rsidRPr="00DD3825" w:rsidRDefault="002E743C" w:rsidP="00FC7AEC">
      <w:pPr>
        <w:rPr>
          <w:rFonts w:cs="Arial"/>
          <w:sz w:val="20"/>
          <w:szCs w:val="20"/>
        </w:rPr>
      </w:pPr>
    </w:p>
    <w:p w:rsidR="002E743C" w:rsidRPr="00DD3825" w:rsidRDefault="002E743C" w:rsidP="002E743C">
      <w:pPr>
        <w:rPr>
          <w:rFonts w:cs="Arial"/>
          <w:i/>
          <w:sz w:val="24"/>
        </w:rPr>
      </w:pPr>
      <m:oMathPara>
        <m:oMathParaPr>
          <m:jc m:val="center"/>
        </m:oMathParaPr>
        <m:oMath>
          <m:r>
            <w:rPr>
              <w:rFonts w:ascii="Cambria Math" w:hAnsi="Cambria Math" w:cs="Arial"/>
              <w:sz w:val="24"/>
            </w:rPr>
            <m:t>kW per ton demand reduction=</m:t>
          </m:r>
          <m:f>
            <m:fPr>
              <m:ctrlPr>
                <w:rPr>
                  <w:rFonts w:ascii="Cambria Math" w:hAnsi="Cambria Math" w:cs="Arial"/>
                  <w:i/>
                  <w:sz w:val="24"/>
                </w:rPr>
              </m:ctrlPr>
            </m:fPr>
            <m:num>
              <m:r>
                <w:rPr>
                  <w:rFonts w:ascii="Cambria Math" w:hAnsi="Cambria Math" w:cs="Arial"/>
                  <w:sz w:val="24"/>
                </w:rPr>
                <m:t>baseline kW-mea</m:t>
              </m:r>
              <m:r>
                <w:rPr>
                  <w:rFonts w:ascii="Cambria Math" w:hAnsi="Cambria Math" w:cs="Arial"/>
                  <w:sz w:val="24"/>
                </w:rPr>
                <m:t>sure kW</m:t>
              </m:r>
            </m:num>
            <m:den>
              <m:r>
                <w:rPr>
                  <w:rFonts w:ascii="Cambria Math" w:hAnsi="Cambria Math" w:cs="Arial"/>
                  <w:sz w:val="24"/>
                </w:rPr>
                <m:t>cooling tons</m:t>
              </m:r>
            </m:den>
          </m:f>
        </m:oMath>
      </m:oMathPara>
    </w:p>
    <w:p w:rsidR="002E743C" w:rsidRPr="00DD3825" w:rsidRDefault="002E743C" w:rsidP="002E743C">
      <w:pPr>
        <w:rPr>
          <w:rFonts w:cs="Arial"/>
          <w:i/>
          <w:sz w:val="20"/>
          <w:szCs w:val="20"/>
        </w:rPr>
      </w:pPr>
      <w:r w:rsidRPr="00DD3825">
        <w:rPr>
          <w:rFonts w:cs="Arial"/>
          <w:i/>
          <w:sz w:val="20"/>
          <w:szCs w:val="20"/>
        </w:rPr>
        <w:t>Where:</w:t>
      </w:r>
    </w:p>
    <w:p w:rsidR="002E743C" w:rsidRPr="00DD3825" w:rsidRDefault="002E743C" w:rsidP="002E743C">
      <w:pPr>
        <w:rPr>
          <w:rFonts w:cs="Arial"/>
          <w:i/>
          <w:sz w:val="20"/>
          <w:szCs w:val="20"/>
        </w:rPr>
      </w:pPr>
      <w:r w:rsidRPr="00DD3825">
        <w:rPr>
          <w:rFonts w:cs="Arial"/>
          <w:i/>
          <w:sz w:val="20"/>
          <w:szCs w:val="20"/>
        </w:rPr>
        <w:t>kW per ton savings = annual unit demand reduction</w:t>
      </w:r>
    </w:p>
    <w:p w:rsidR="002E743C" w:rsidRPr="00DD3825" w:rsidRDefault="002E743C" w:rsidP="002E743C">
      <w:pPr>
        <w:rPr>
          <w:rFonts w:cs="Arial"/>
          <w:i/>
          <w:sz w:val="20"/>
          <w:szCs w:val="20"/>
        </w:rPr>
      </w:pPr>
      <w:r w:rsidRPr="00DD3825">
        <w:rPr>
          <w:rFonts w:cs="Arial"/>
          <w:i/>
          <w:sz w:val="20"/>
          <w:szCs w:val="20"/>
        </w:rPr>
        <w:t>baseline kW = average demand for DEER peak period of customer average baseline</w:t>
      </w:r>
    </w:p>
    <w:p w:rsidR="002E743C" w:rsidRPr="00DD3825" w:rsidRDefault="002E743C" w:rsidP="002E743C">
      <w:pPr>
        <w:rPr>
          <w:rFonts w:cs="Arial"/>
          <w:i/>
          <w:sz w:val="20"/>
          <w:szCs w:val="20"/>
        </w:rPr>
      </w:pPr>
      <w:r w:rsidRPr="00DD3825">
        <w:rPr>
          <w:rFonts w:cs="Arial"/>
          <w:i/>
          <w:sz w:val="20"/>
          <w:szCs w:val="20"/>
        </w:rPr>
        <w:t>measure kW = average demand for DEER peak period of measure</w:t>
      </w:r>
    </w:p>
    <w:p w:rsidR="002E743C" w:rsidRPr="00DD3825" w:rsidRDefault="002E743C" w:rsidP="002E743C">
      <w:pPr>
        <w:rPr>
          <w:rFonts w:cs="Arial"/>
          <w:i/>
          <w:sz w:val="20"/>
          <w:szCs w:val="20"/>
        </w:rPr>
      </w:pPr>
      <w:r w:rsidRPr="00DD3825">
        <w:rPr>
          <w:rFonts w:cs="Arial"/>
          <w:i/>
          <w:sz w:val="20"/>
          <w:szCs w:val="20"/>
        </w:rPr>
        <w:t>cooling tons = cooling capacity of units measure was applied to (Btu/h) divided by 12,000 (Btu/h per ton)</w:t>
      </w:r>
    </w:p>
    <w:p w:rsidR="002E743C" w:rsidRPr="00DD3825" w:rsidRDefault="002E743C" w:rsidP="002E743C">
      <w:pPr>
        <w:rPr>
          <w:rFonts w:cs="Arial"/>
          <w:i/>
          <w:sz w:val="20"/>
          <w:szCs w:val="20"/>
        </w:rPr>
      </w:pPr>
    </w:p>
    <w:p w:rsidR="002E743C" w:rsidRPr="00DD3825" w:rsidRDefault="002E743C" w:rsidP="002E743C">
      <w:r w:rsidRPr="00DD3825">
        <w:t xml:space="preserve">A sample calculation using a 1985 vintage assembly (Asm) prototype using AC with gas heat located in climate zone 11 is provided below. Table 13 provides electric energy use and cooling capacity data for the baseline and measure case on the Asm prototype approximating a building constructed in 1986 in climate zone 11. </w:t>
      </w:r>
    </w:p>
    <w:p w:rsidR="002E743C" w:rsidRPr="00DD3825" w:rsidRDefault="002E743C" w:rsidP="002E743C"/>
    <w:p w:rsidR="002E743C" w:rsidRPr="00DD3825" w:rsidRDefault="002E743C" w:rsidP="002E743C">
      <w:pPr>
        <w:pStyle w:val="Caption"/>
        <w:keepNext/>
        <w:jc w:val="center"/>
      </w:pPr>
      <w:bookmarkStart w:id="126" w:name="_Toc386811755"/>
      <w:r w:rsidRPr="00DD3825">
        <w:t xml:space="preserve">Table </w:t>
      </w:r>
      <w:r w:rsidR="00FF41C5">
        <w:fldChar w:fldCharType="begin"/>
      </w:r>
      <w:r w:rsidR="00FF41C5">
        <w:instrText xml:space="preserve"> SEQ Table \* ARABIC </w:instrText>
      </w:r>
      <w:r w:rsidR="00FF41C5">
        <w:fldChar w:fldCharType="separate"/>
      </w:r>
      <w:r w:rsidR="00B424F3">
        <w:rPr>
          <w:noProof/>
        </w:rPr>
        <w:t>15</w:t>
      </w:r>
      <w:r w:rsidR="00FF41C5">
        <w:rPr>
          <w:noProof/>
        </w:rPr>
        <w:fldChar w:fldCharType="end"/>
      </w:r>
      <w:r w:rsidRPr="00DD3825">
        <w:t xml:space="preserve"> Asm cz11 v85 AC with Gas Heat Demand and Cooling Capacity Data</w:t>
      </w:r>
      <w:bookmarkEnd w:id="126"/>
    </w:p>
    <w:tbl>
      <w:tblPr>
        <w:tblStyle w:val="PGEWorkPaper"/>
        <w:tblW w:w="0" w:type="auto"/>
        <w:tblLook w:val="04A0" w:firstRow="1" w:lastRow="0" w:firstColumn="1" w:lastColumn="0" w:noHBand="0" w:noVBand="1"/>
      </w:tblPr>
      <w:tblGrid>
        <w:gridCol w:w="3301"/>
        <w:gridCol w:w="3314"/>
        <w:gridCol w:w="2961"/>
      </w:tblGrid>
      <w:tr w:rsidR="00612EC6" w:rsidRPr="00DD3825" w:rsidTr="00A13830">
        <w:trPr>
          <w:cnfStyle w:val="100000000000" w:firstRow="1" w:lastRow="0" w:firstColumn="0" w:lastColumn="0" w:oddVBand="0" w:evenVBand="0" w:oddHBand="0" w:evenHBand="0" w:firstRowFirstColumn="0" w:firstRowLastColumn="0" w:lastRowFirstColumn="0" w:lastRowLastColumn="0"/>
        </w:trPr>
        <w:tc>
          <w:tcPr>
            <w:tcW w:w="3301" w:type="dxa"/>
            <w:vAlign w:val="center"/>
          </w:tcPr>
          <w:p w:rsidR="00612EC6" w:rsidRPr="00DD3825" w:rsidRDefault="00612EC6" w:rsidP="009F237B">
            <w:pPr>
              <w:rPr>
                <w:color w:val="auto"/>
              </w:rPr>
            </w:pPr>
            <w:r w:rsidRPr="00DD3825">
              <w:rPr>
                <w:rFonts w:cs="Arial"/>
                <w:b w:val="0"/>
                <w:bCs w:val="0"/>
                <w:color w:val="auto"/>
              </w:rPr>
              <w:t> </w:t>
            </w:r>
          </w:p>
        </w:tc>
        <w:tc>
          <w:tcPr>
            <w:tcW w:w="3314" w:type="dxa"/>
            <w:vAlign w:val="center"/>
          </w:tcPr>
          <w:p w:rsidR="00612EC6" w:rsidRPr="00DD3825" w:rsidRDefault="00612EC6" w:rsidP="009F237B">
            <w:pPr>
              <w:rPr>
                <w:rFonts w:cs="Arial"/>
                <w:color w:val="auto"/>
                <w:sz w:val="20"/>
                <w:szCs w:val="20"/>
              </w:rPr>
            </w:pPr>
            <w:r w:rsidRPr="00DD3825">
              <w:rPr>
                <w:b w:val="0"/>
                <w:bCs w:val="0"/>
                <w:color w:val="auto"/>
                <w:sz w:val="20"/>
                <w:szCs w:val="20"/>
              </w:rPr>
              <w:t>Baseline</w:t>
            </w:r>
          </w:p>
        </w:tc>
        <w:tc>
          <w:tcPr>
            <w:tcW w:w="2961" w:type="dxa"/>
            <w:vAlign w:val="center"/>
          </w:tcPr>
          <w:p w:rsidR="00612EC6" w:rsidRPr="00DD3825" w:rsidRDefault="00612EC6" w:rsidP="009F237B">
            <w:pPr>
              <w:rPr>
                <w:rFonts w:cs="Arial"/>
                <w:color w:val="auto"/>
                <w:sz w:val="20"/>
                <w:szCs w:val="20"/>
              </w:rPr>
            </w:pPr>
            <w:r w:rsidRPr="00DD3825">
              <w:rPr>
                <w:b w:val="0"/>
                <w:bCs w:val="0"/>
                <w:color w:val="auto"/>
                <w:sz w:val="20"/>
                <w:szCs w:val="20"/>
              </w:rPr>
              <w:t>Measure</w:t>
            </w:r>
          </w:p>
        </w:tc>
      </w:tr>
      <w:tr w:rsidR="00612EC6" w:rsidRPr="00DD3825" w:rsidTr="00A13830">
        <w:trPr>
          <w:cnfStyle w:val="000000100000" w:firstRow="0" w:lastRow="0" w:firstColumn="0" w:lastColumn="0" w:oddVBand="0" w:evenVBand="0" w:oddHBand="1" w:evenHBand="0" w:firstRowFirstColumn="0" w:firstRowLastColumn="0" w:lastRowFirstColumn="0" w:lastRowLastColumn="0"/>
        </w:trPr>
        <w:tc>
          <w:tcPr>
            <w:tcW w:w="3301" w:type="dxa"/>
            <w:vAlign w:val="center"/>
          </w:tcPr>
          <w:p w:rsidR="00612EC6" w:rsidRPr="00DD3825" w:rsidRDefault="00612EC6" w:rsidP="009F237B">
            <w:r w:rsidRPr="00DD3825">
              <w:t>7/8 hour 15 demand (kW)</w:t>
            </w:r>
          </w:p>
        </w:tc>
        <w:tc>
          <w:tcPr>
            <w:tcW w:w="3314" w:type="dxa"/>
            <w:vAlign w:val="center"/>
          </w:tcPr>
          <w:p w:rsidR="00612EC6" w:rsidRPr="00DD3825" w:rsidRDefault="00612EC6" w:rsidP="009F237B">
            <w:pPr>
              <w:rPr>
                <w:rFonts w:cs="Arial"/>
                <w:sz w:val="20"/>
                <w:szCs w:val="20"/>
              </w:rPr>
            </w:pPr>
            <w:r w:rsidRPr="00DD3825">
              <w:rPr>
                <w:rFonts w:cs="Arial"/>
                <w:sz w:val="20"/>
                <w:szCs w:val="20"/>
              </w:rPr>
              <w:t>286.719</w:t>
            </w:r>
          </w:p>
        </w:tc>
        <w:tc>
          <w:tcPr>
            <w:tcW w:w="2961" w:type="dxa"/>
            <w:vAlign w:val="center"/>
          </w:tcPr>
          <w:p w:rsidR="00612EC6" w:rsidRPr="00DD3825" w:rsidRDefault="00612EC6" w:rsidP="009F237B">
            <w:pPr>
              <w:rPr>
                <w:rFonts w:cs="Arial"/>
                <w:sz w:val="20"/>
                <w:szCs w:val="20"/>
              </w:rPr>
            </w:pPr>
            <w:r w:rsidRPr="00DD3825">
              <w:rPr>
                <w:rFonts w:cs="Arial"/>
                <w:sz w:val="20"/>
                <w:szCs w:val="20"/>
              </w:rPr>
              <w:t>250.359</w:t>
            </w:r>
          </w:p>
        </w:tc>
      </w:tr>
      <w:tr w:rsidR="00612EC6" w:rsidRPr="00DD3825" w:rsidTr="00A13830">
        <w:trPr>
          <w:cnfStyle w:val="000000010000" w:firstRow="0" w:lastRow="0" w:firstColumn="0" w:lastColumn="0" w:oddVBand="0" w:evenVBand="0" w:oddHBand="0" w:evenHBand="1" w:firstRowFirstColumn="0" w:firstRowLastColumn="0" w:lastRowFirstColumn="0" w:lastRowLastColumn="0"/>
        </w:trPr>
        <w:tc>
          <w:tcPr>
            <w:tcW w:w="3301" w:type="dxa"/>
            <w:vAlign w:val="center"/>
          </w:tcPr>
          <w:p w:rsidR="00612EC6" w:rsidRPr="00DD3825" w:rsidRDefault="00612EC6" w:rsidP="009F237B">
            <w:r w:rsidRPr="00DD3825">
              <w:t>7/8 hour 16 demand (kW</w:t>
            </w:r>
          </w:p>
        </w:tc>
        <w:tc>
          <w:tcPr>
            <w:tcW w:w="3314" w:type="dxa"/>
            <w:vAlign w:val="center"/>
          </w:tcPr>
          <w:p w:rsidR="00612EC6" w:rsidRPr="00DD3825" w:rsidRDefault="00612EC6" w:rsidP="009F237B">
            <w:pPr>
              <w:rPr>
                <w:rFonts w:cs="Arial"/>
                <w:sz w:val="20"/>
                <w:szCs w:val="20"/>
              </w:rPr>
            </w:pPr>
            <w:r w:rsidRPr="00DD3825">
              <w:t>316.716</w:t>
            </w:r>
          </w:p>
        </w:tc>
        <w:tc>
          <w:tcPr>
            <w:tcW w:w="2961" w:type="dxa"/>
            <w:vAlign w:val="center"/>
          </w:tcPr>
          <w:p w:rsidR="00612EC6" w:rsidRPr="00DD3825" w:rsidRDefault="00612EC6" w:rsidP="009F237B">
            <w:pPr>
              <w:rPr>
                <w:rFonts w:cs="Arial"/>
                <w:sz w:val="20"/>
                <w:szCs w:val="20"/>
              </w:rPr>
            </w:pPr>
            <w:r w:rsidRPr="00DD3825">
              <w:t>301.368</w:t>
            </w:r>
          </w:p>
        </w:tc>
      </w:tr>
      <w:tr w:rsidR="00612EC6" w:rsidRPr="00DD3825" w:rsidTr="00A13830">
        <w:trPr>
          <w:cnfStyle w:val="000000100000" w:firstRow="0" w:lastRow="0" w:firstColumn="0" w:lastColumn="0" w:oddVBand="0" w:evenVBand="0" w:oddHBand="1" w:evenHBand="0" w:firstRowFirstColumn="0" w:firstRowLastColumn="0" w:lastRowFirstColumn="0" w:lastRowLastColumn="0"/>
        </w:trPr>
        <w:tc>
          <w:tcPr>
            <w:tcW w:w="3301" w:type="dxa"/>
            <w:vAlign w:val="center"/>
          </w:tcPr>
          <w:p w:rsidR="00612EC6" w:rsidRPr="00DD3825" w:rsidRDefault="00612EC6" w:rsidP="009F237B">
            <w:r w:rsidRPr="00DD3825">
              <w:t>7/8 hour 17 demand (kW)</w:t>
            </w:r>
          </w:p>
        </w:tc>
        <w:tc>
          <w:tcPr>
            <w:tcW w:w="3314" w:type="dxa"/>
            <w:vAlign w:val="center"/>
          </w:tcPr>
          <w:p w:rsidR="00612EC6" w:rsidRPr="00DD3825" w:rsidRDefault="00612EC6" w:rsidP="009F237B">
            <w:pPr>
              <w:rPr>
                <w:rFonts w:cs="Arial"/>
                <w:sz w:val="20"/>
                <w:szCs w:val="20"/>
              </w:rPr>
            </w:pPr>
            <w:r w:rsidRPr="00DD3825">
              <w:rPr>
                <w:rFonts w:cs="Arial"/>
                <w:sz w:val="20"/>
                <w:szCs w:val="20"/>
              </w:rPr>
              <w:t>322.775</w:t>
            </w:r>
          </w:p>
        </w:tc>
        <w:tc>
          <w:tcPr>
            <w:tcW w:w="2961" w:type="dxa"/>
            <w:vAlign w:val="center"/>
          </w:tcPr>
          <w:p w:rsidR="00612EC6" w:rsidRPr="00DD3825" w:rsidRDefault="00612EC6" w:rsidP="009F237B">
            <w:pPr>
              <w:rPr>
                <w:rFonts w:cs="Arial"/>
                <w:sz w:val="20"/>
                <w:szCs w:val="20"/>
              </w:rPr>
            </w:pPr>
            <w:r w:rsidRPr="00DD3825">
              <w:rPr>
                <w:rFonts w:cs="Arial"/>
                <w:sz w:val="20"/>
                <w:szCs w:val="20"/>
              </w:rPr>
              <w:t>314.32</w:t>
            </w:r>
          </w:p>
        </w:tc>
      </w:tr>
      <w:tr w:rsidR="00612EC6" w:rsidRPr="00DD3825" w:rsidTr="00A13830">
        <w:trPr>
          <w:cnfStyle w:val="000000010000" w:firstRow="0" w:lastRow="0" w:firstColumn="0" w:lastColumn="0" w:oddVBand="0" w:evenVBand="0" w:oddHBand="0" w:evenHBand="1" w:firstRowFirstColumn="0" w:firstRowLastColumn="0" w:lastRowFirstColumn="0" w:lastRowLastColumn="0"/>
        </w:trPr>
        <w:tc>
          <w:tcPr>
            <w:tcW w:w="3301" w:type="dxa"/>
            <w:vAlign w:val="center"/>
          </w:tcPr>
          <w:p w:rsidR="00612EC6" w:rsidRPr="00DD3825" w:rsidRDefault="00612EC6" w:rsidP="009F237B">
            <w:r w:rsidRPr="00DD3825">
              <w:t>7/9 hour 15 demand (kW</w:t>
            </w:r>
          </w:p>
        </w:tc>
        <w:tc>
          <w:tcPr>
            <w:tcW w:w="3314" w:type="dxa"/>
            <w:vAlign w:val="center"/>
          </w:tcPr>
          <w:p w:rsidR="00612EC6" w:rsidRPr="00DD3825" w:rsidRDefault="00612EC6" w:rsidP="009F237B">
            <w:pPr>
              <w:rPr>
                <w:rFonts w:cs="Arial"/>
                <w:sz w:val="20"/>
                <w:szCs w:val="20"/>
              </w:rPr>
            </w:pPr>
            <w:r w:rsidRPr="00DD3825">
              <w:t>337.251</w:t>
            </w:r>
          </w:p>
        </w:tc>
        <w:tc>
          <w:tcPr>
            <w:tcW w:w="2961" w:type="dxa"/>
            <w:vAlign w:val="center"/>
          </w:tcPr>
          <w:p w:rsidR="00612EC6" w:rsidRPr="00DD3825" w:rsidRDefault="00612EC6" w:rsidP="009F237B">
            <w:pPr>
              <w:rPr>
                <w:rFonts w:cs="Arial"/>
                <w:sz w:val="20"/>
                <w:szCs w:val="20"/>
              </w:rPr>
            </w:pPr>
            <w:r w:rsidRPr="00DD3825">
              <w:t>286.901</w:t>
            </w:r>
          </w:p>
        </w:tc>
      </w:tr>
      <w:tr w:rsidR="00612EC6" w:rsidRPr="00DD3825" w:rsidTr="00A13830">
        <w:trPr>
          <w:cnfStyle w:val="000000100000" w:firstRow="0" w:lastRow="0" w:firstColumn="0" w:lastColumn="0" w:oddVBand="0" w:evenVBand="0" w:oddHBand="1" w:evenHBand="0" w:firstRowFirstColumn="0" w:firstRowLastColumn="0" w:lastRowFirstColumn="0" w:lastRowLastColumn="0"/>
        </w:trPr>
        <w:tc>
          <w:tcPr>
            <w:tcW w:w="3301" w:type="dxa"/>
            <w:vAlign w:val="center"/>
          </w:tcPr>
          <w:p w:rsidR="00612EC6" w:rsidRPr="00DD3825" w:rsidRDefault="00612EC6" w:rsidP="009F237B">
            <w:r w:rsidRPr="00DD3825">
              <w:t>7/9 hour 16 demand (kW)</w:t>
            </w:r>
          </w:p>
        </w:tc>
        <w:tc>
          <w:tcPr>
            <w:tcW w:w="3314" w:type="dxa"/>
            <w:vAlign w:val="center"/>
          </w:tcPr>
          <w:p w:rsidR="00612EC6" w:rsidRPr="00DD3825" w:rsidRDefault="00612EC6" w:rsidP="009F237B">
            <w:pPr>
              <w:rPr>
                <w:rFonts w:cs="Arial"/>
                <w:sz w:val="20"/>
                <w:szCs w:val="20"/>
              </w:rPr>
            </w:pPr>
            <w:r w:rsidRPr="00DD3825">
              <w:rPr>
                <w:rFonts w:cs="Arial"/>
                <w:sz w:val="20"/>
                <w:szCs w:val="20"/>
              </w:rPr>
              <w:t>354.335</w:t>
            </w:r>
          </w:p>
        </w:tc>
        <w:tc>
          <w:tcPr>
            <w:tcW w:w="2961" w:type="dxa"/>
            <w:vAlign w:val="center"/>
          </w:tcPr>
          <w:p w:rsidR="00612EC6" w:rsidRPr="00DD3825" w:rsidRDefault="00612EC6" w:rsidP="009F237B">
            <w:pPr>
              <w:rPr>
                <w:rFonts w:cs="Arial"/>
                <w:sz w:val="20"/>
                <w:szCs w:val="20"/>
              </w:rPr>
            </w:pPr>
            <w:r w:rsidRPr="00DD3825">
              <w:rPr>
                <w:rFonts w:cs="Arial"/>
                <w:sz w:val="20"/>
                <w:szCs w:val="20"/>
              </w:rPr>
              <w:t>338.351</w:t>
            </w:r>
          </w:p>
        </w:tc>
      </w:tr>
      <w:tr w:rsidR="00612EC6" w:rsidRPr="00DD3825" w:rsidTr="00A13830">
        <w:trPr>
          <w:cnfStyle w:val="000000010000" w:firstRow="0" w:lastRow="0" w:firstColumn="0" w:lastColumn="0" w:oddVBand="0" w:evenVBand="0" w:oddHBand="0" w:evenHBand="1" w:firstRowFirstColumn="0" w:firstRowLastColumn="0" w:lastRowFirstColumn="0" w:lastRowLastColumn="0"/>
        </w:trPr>
        <w:tc>
          <w:tcPr>
            <w:tcW w:w="3301" w:type="dxa"/>
            <w:vAlign w:val="center"/>
          </w:tcPr>
          <w:p w:rsidR="00612EC6" w:rsidRPr="00DD3825" w:rsidRDefault="00612EC6" w:rsidP="009F237B">
            <w:r w:rsidRPr="00DD3825">
              <w:t>7/9 hour 17 demand (kW</w:t>
            </w:r>
          </w:p>
        </w:tc>
        <w:tc>
          <w:tcPr>
            <w:tcW w:w="3314" w:type="dxa"/>
            <w:vAlign w:val="center"/>
          </w:tcPr>
          <w:p w:rsidR="00612EC6" w:rsidRPr="00DD3825" w:rsidRDefault="00612EC6" w:rsidP="009F237B">
            <w:pPr>
              <w:rPr>
                <w:rFonts w:cs="Arial"/>
                <w:sz w:val="20"/>
                <w:szCs w:val="20"/>
              </w:rPr>
            </w:pPr>
            <w:r w:rsidRPr="00DD3825">
              <w:t>352.816</w:t>
            </w:r>
          </w:p>
        </w:tc>
        <w:tc>
          <w:tcPr>
            <w:tcW w:w="2961" w:type="dxa"/>
            <w:vAlign w:val="center"/>
          </w:tcPr>
          <w:p w:rsidR="00612EC6" w:rsidRPr="00DD3825" w:rsidRDefault="00612EC6" w:rsidP="009F237B">
            <w:pPr>
              <w:rPr>
                <w:rFonts w:cs="Arial"/>
                <w:sz w:val="20"/>
                <w:szCs w:val="20"/>
              </w:rPr>
            </w:pPr>
            <w:r w:rsidRPr="00DD3825">
              <w:t>344.157</w:t>
            </w:r>
          </w:p>
        </w:tc>
      </w:tr>
      <w:tr w:rsidR="00612EC6" w:rsidRPr="00DD3825" w:rsidTr="00A13830">
        <w:trPr>
          <w:cnfStyle w:val="000000100000" w:firstRow="0" w:lastRow="0" w:firstColumn="0" w:lastColumn="0" w:oddVBand="0" w:evenVBand="0" w:oddHBand="1" w:evenHBand="0" w:firstRowFirstColumn="0" w:firstRowLastColumn="0" w:lastRowFirstColumn="0" w:lastRowLastColumn="0"/>
        </w:trPr>
        <w:tc>
          <w:tcPr>
            <w:tcW w:w="3301" w:type="dxa"/>
            <w:vAlign w:val="center"/>
          </w:tcPr>
          <w:p w:rsidR="00612EC6" w:rsidRPr="00DD3825" w:rsidRDefault="00612EC6" w:rsidP="009F237B">
            <w:r w:rsidRPr="00DD3825">
              <w:t>7/10 hour 15 demand (kW)</w:t>
            </w:r>
          </w:p>
        </w:tc>
        <w:tc>
          <w:tcPr>
            <w:tcW w:w="3314" w:type="dxa"/>
            <w:vAlign w:val="center"/>
          </w:tcPr>
          <w:p w:rsidR="00612EC6" w:rsidRPr="00DD3825" w:rsidRDefault="00612EC6" w:rsidP="009F237B">
            <w:pPr>
              <w:rPr>
                <w:rFonts w:cs="Arial"/>
                <w:sz w:val="20"/>
                <w:szCs w:val="20"/>
              </w:rPr>
            </w:pPr>
            <w:r w:rsidRPr="00DD3825">
              <w:rPr>
                <w:rFonts w:cs="Arial"/>
                <w:sz w:val="20"/>
                <w:szCs w:val="20"/>
              </w:rPr>
              <w:t>371.397</w:t>
            </w:r>
          </w:p>
        </w:tc>
        <w:tc>
          <w:tcPr>
            <w:tcW w:w="2961" w:type="dxa"/>
            <w:vAlign w:val="center"/>
          </w:tcPr>
          <w:p w:rsidR="00612EC6" w:rsidRPr="00DD3825" w:rsidRDefault="00612EC6" w:rsidP="009F237B">
            <w:pPr>
              <w:rPr>
                <w:rFonts w:cs="Arial"/>
                <w:sz w:val="20"/>
                <w:szCs w:val="20"/>
              </w:rPr>
            </w:pPr>
            <w:r w:rsidRPr="00DD3825">
              <w:rPr>
                <w:rFonts w:cs="Arial"/>
                <w:sz w:val="20"/>
                <w:szCs w:val="20"/>
              </w:rPr>
              <w:t>311.799</w:t>
            </w:r>
          </w:p>
        </w:tc>
      </w:tr>
      <w:tr w:rsidR="00612EC6" w:rsidRPr="00DD3825" w:rsidTr="00A13830">
        <w:trPr>
          <w:cnfStyle w:val="000000010000" w:firstRow="0" w:lastRow="0" w:firstColumn="0" w:lastColumn="0" w:oddVBand="0" w:evenVBand="0" w:oddHBand="0" w:evenHBand="1" w:firstRowFirstColumn="0" w:firstRowLastColumn="0" w:lastRowFirstColumn="0" w:lastRowLastColumn="0"/>
        </w:trPr>
        <w:tc>
          <w:tcPr>
            <w:tcW w:w="3301" w:type="dxa"/>
            <w:vAlign w:val="center"/>
          </w:tcPr>
          <w:p w:rsidR="00612EC6" w:rsidRPr="00DD3825" w:rsidRDefault="00612EC6" w:rsidP="009F237B">
            <w:r w:rsidRPr="00DD3825">
              <w:t>7/10 hour 16 demand (kW</w:t>
            </w:r>
          </w:p>
        </w:tc>
        <w:tc>
          <w:tcPr>
            <w:tcW w:w="3314" w:type="dxa"/>
            <w:vAlign w:val="center"/>
          </w:tcPr>
          <w:p w:rsidR="00612EC6" w:rsidRPr="00DD3825" w:rsidRDefault="00612EC6" w:rsidP="009F237B">
            <w:pPr>
              <w:rPr>
                <w:rFonts w:cs="Arial"/>
                <w:sz w:val="20"/>
                <w:szCs w:val="20"/>
              </w:rPr>
            </w:pPr>
            <w:r w:rsidRPr="00DD3825">
              <w:t>380.605</w:t>
            </w:r>
          </w:p>
        </w:tc>
        <w:tc>
          <w:tcPr>
            <w:tcW w:w="2961" w:type="dxa"/>
            <w:vAlign w:val="center"/>
          </w:tcPr>
          <w:p w:rsidR="00612EC6" w:rsidRPr="00DD3825" w:rsidRDefault="00612EC6" w:rsidP="009F237B">
            <w:pPr>
              <w:rPr>
                <w:rFonts w:cs="Arial"/>
                <w:sz w:val="20"/>
                <w:szCs w:val="20"/>
              </w:rPr>
            </w:pPr>
            <w:r w:rsidRPr="00DD3825">
              <w:t>368.995</w:t>
            </w:r>
          </w:p>
        </w:tc>
      </w:tr>
      <w:tr w:rsidR="00612EC6" w:rsidRPr="00DD3825" w:rsidTr="00A13830">
        <w:trPr>
          <w:cnfStyle w:val="000000100000" w:firstRow="0" w:lastRow="0" w:firstColumn="0" w:lastColumn="0" w:oddVBand="0" w:evenVBand="0" w:oddHBand="1" w:evenHBand="0" w:firstRowFirstColumn="0" w:firstRowLastColumn="0" w:lastRowFirstColumn="0" w:lastRowLastColumn="0"/>
        </w:trPr>
        <w:tc>
          <w:tcPr>
            <w:tcW w:w="3301" w:type="dxa"/>
            <w:vAlign w:val="center"/>
          </w:tcPr>
          <w:p w:rsidR="00612EC6" w:rsidRPr="00DD3825" w:rsidRDefault="00612EC6" w:rsidP="009F237B">
            <w:r w:rsidRPr="00DD3825">
              <w:t>7/10 hour 17 demand (kW)</w:t>
            </w:r>
          </w:p>
        </w:tc>
        <w:tc>
          <w:tcPr>
            <w:tcW w:w="3314" w:type="dxa"/>
            <w:vAlign w:val="center"/>
          </w:tcPr>
          <w:p w:rsidR="00612EC6" w:rsidRPr="00DD3825" w:rsidRDefault="00612EC6" w:rsidP="009F237B">
            <w:pPr>
              <w:rPr>
                <w:rFonts w:cs="Arial"/>
                <w:sz w:val="20"/>
                <w:szCs w:val="20"/>
              </w:rPr>
            </w:pPr>
            <w:r w:rsidRPr="00DD3825">
              <w:rPr>
                <w:rFonts w:cs="Arial"/>
                <w:sz w:val="20"/>
                <w:szCs w:val="20"/>
              </w:rPr>
              <w:t>375.689</w:t>
            </w:r>
          </w:p>
        </w:tc>
        <w:tc>
          <w:tcPr>
            <w:tcW w:w="2961" w:type="dxa"/>
            <w:vAlign w:val="center"/>
          </w:tcPr>
          <w:p w:rsidR="00612EC6" w:rsidRPr="00DD3825" w:rsidRDefault="00612EC6" w:rsidP="009F237B">
            <w:pPr>
              <w:rPr>
                <w:rFonts w:cs="Arial"/>
                <w:sz w:val="20"/>
                <w:szCs w:val="20"/>
              </w:rPr>
            </w:pPr>
            <w:r w:rsidRPr="00DD3825">
              <w:rPr>
                <w:rFonts w:cs="Arial"/>
                <w:sz w:val="20"/>
                <w:szCs w:val="20"/>
              </w:rPr>
              <w:t>374.239</w:t>
            </w:r>
          </w:p>
        </w:tc>
      </w:tr>
      <w:tr w:rsidR="00612EC6" w:rsidRPr="00DD3825" w:rsidTr="00A13830">
        <w:trPr>
          <w:cnfStyle w:val="000000010000" w:firstRow="0" w:lastRow="0" w:firstColumn="0" w:lastColumn="0" w:oddVBand="0" w:evenVBand="0" w:oddHBand="0" w:evenHBand="1" w:firstRowFirstColumn="0" w:firstRowLastColumn="0" w:lastRowFirstColumn="0" w:lastRowLastColumn="0"/>
        </w:trPr>
        <w:tc>
          <w:tcPr>
            <w:tcW w:w="3301" w:type="dxa"/>
            <w:vAlign w:val="center"/>
          </w:tcPr>
          <w:p w:rsidR="00612EC6" w:rsidRPr="00DD3825" w:rsidRDefault="00612EC6" w:rsidP="009F237B">
            <w:pPr>
              <w:rPr>
                <w:b/>
              </w:rPr>
            </w:pPr>
            <w:r w:rsidRPr="00DD3825">
              <w:rPr>
                <w:b/>
                <w:bCs/>
              </w:rPr>
              <w:t>DEER Demand Average (kW)</w:t>
            </w:r>
          </w:p>
        </w:tc>
        <w:tc>
          <w:tcPr>
            <w:tcW w:w="3314" w:type="dxa"/>
            <w:vAlign w:val="center"/>
          </w:tcPr>
          <w:p w:rsidR="00612EC6" w:rsidRPr="00DD3825" w:rsidRDefault="00612EC6" w:rsidP="009F237B">
            <w:pPr>
              <w:rPr>
                <w:rFonts w:cs="Arial"/>
                <w:b/>
                <w:sz w:val="20"/>
                <w:szCs w:val="20"/>
              </w:rPr>
            </w:pPr>
            <w:r w:rsidRPr="00DD3825">
              <w:rPr>
                <w:rFonts w:cs="Arial"/>
                <w:b/>
                <w:bCs/>
                <w:sz w:val="20"/>
                <w:szCs w:val="20"/>
              </w:rPr>
              <w:t>344.256</w:t>
            </w:r>
          </w:p>
        </w:tc>
        <w:tc>
          <w:tcPr>
            <w:tcW w:w="2961" w:type="dxa"/>
            <w:vAlign w:val="center"/>
          </w:tcPr>
          <w:p w:rsidR="00612EC6" w:rsidRPr="00DD3825" w:rsidRDefault="00612EC6" w:rsidP="009F237B">
            <w:pPr>
              <w:rPr>
                <w:rFonts w:cs="Arial"/>
                <w:b/>
                <w:sz w:val="20"/>
                <w:szCs w:val="20"/>
              </w:rPr>
            </w:pPr>
            <w:r w:rsidRPr="00DD3825">
              <w:rPr>
                <w:rFonts w:cs="Arial"/>
                <w:b/>
                <w:bCs/>
                <w:sz w:val="20"/>
                <w:szCs w:val="20"/>
              </w:rPr>
              <w:t>321.165</w:t>
            </w:r>
          </w:p>
        </w:tc>
      </w:tr>
      <w:tr w:rsidR="009F237B" w:rsidRPr="00DD3825" w:rsidTr="002E743C">
        <w:trPr>
          <w:cnfStyle w:val="000000100000" w:firstRow="0" w:lastRow="0" w:firstColumn="0" w:lastColumn="0" w:oddVBand="0" w:evenVBand="0" w:oddHBand="1" w:evenHBand="0" w:firstRowFirstColumn="0" w:firstRowLastColumn="0" w:lastRowFirstColumn="0" w:lastRowLastColumn="0"/>
        </w:trPr>
        <w:tc>
          <w:tcPr>
            <w:tcW w:w="3301" w:type="dxa"/>
          </w:tcPr>
          <w:p w:rsidR="009F237B" w:rsidRPr="00DD3825" w:rsidRDefault="009F237B" w:rsidP="009F237B">
            <w:r w:rsidRPr="00DD3825">
              <w:t>System cooling capacity (Btu/h)</w:t>
            </w:r>
          </w:p>
        </w:tc>
        <w:tc>
          <w:tcPr>
            <w:tcW w:w="3314" w:type="dxa"/>
          </w:tcPr>
          <w:p w:rsidR="009F237B" w:rsidRPr="00DD3825" w:rsidRDefault="009F237B" w:rsidP="009F237B">
            <w:pPr>
              <w:rPr>
                <w:rFonts w:cs="Arial"/>
                <w:sz w:val="20"/>
                <w:szCs w:val="20"/>
              </w:rPr>
            </w:pPr>
            <w:r w:rsidRPr="00DD3825">
              <w:rPr>
                <w:rFonts w:cs="Arial"/>
                <w:sz w:val="20"/>
                <w:szCs w:val="20"/>
              </w:rPr>
              <w:t>2,485,200</w:t>
            </w:r>
          </w:p>
        </w:tc>
        <w:tc>
          <w:tcPr>
            <w:tcW w:w="2961" w:type="dxa"/>
          </w:tcPr>
          <w:p w:rsidR="009F237B" w:rsidRPr="00DD3825" w:rsidRDefault="009F237B" w:rsidP="009F237B">
            <w:pPr>
              <w:rPr>
                <w:rFonts w:cs="Arial"/>
                <w:sz w:val="20"/>
                <w:szCs w:val="20"/>
              </w:rPr>
            </w:pPr>
            <w:r w:rsidRPr="00DD3825">
              <w:rPr>
                <w:rFonts w:cs="Arial"/>
                <w:sz w:val="20"/>
                <w:szCs w:val="20"/>
              </w:rPr>
              <w:t>2,485,200</w:t>
            </w:r>
          </w:p>
        </w:tc>
      </w:tr>
    </w:tbl>
    <w:p w:rsidR="002E743C" w:rsidRPr="00DD3825" w:rsidRDefault="002E743C" w:rsidP="002E743C">
      <w:pPr>
        <w:rPr>
          <w:sz w:val="24"/>
        </w:rPr>
      </w:pPr>
    </w:p>
    <w:p w:rsidR="002E743C" w:rsidRPr="00DD3825" w:rsidRDefault="00612EC6" w:rsidP="002E743C">
      <w:pPr>
        <w:jc w:val="center"/>
      </w:pPr>
      <m:oMathPara>
        <m:oMath>
          <m:r>
            <w:rPr>
              <w:rFonts w:ascii="Cambria Math" w:hAnsi="Cambria Math"/>
              <w:sz w:val="24"/>
            </w:rPr>
            <w:lastRenderedPageBreak/>
            <m:t>0.111</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kW</m:t>
                  </m:r>
                </m:num>
                <m:den>
                  <m:r>
                    <w:rPr>
                      <w:rFonts w:ascii="Cambria Math" w:hAnsi="Cambria Math"/>
                      <w:sz w:val="24"/>
                    </w:rPr>
                    <m:t xml:space="preserve">ton </m:t>
                  </m:r>
                </m:den>
              </m:f>
            </m:e>
          </m:d>
          <m:r>
            <w:rPr>
              <w:rFonts w:ascii="Cambria Math" w:hAnsi="Cambria Math"/>
              <w:sz w:val="24"/>
            </w:rPr>
            <m:t>=</m:t>
          </m:r>
          <m:f>
            <m:fPr>
              <m:ctrlPr>
                <w:rPr>
                  <w:rFonts w:ascii="Cambria Math" w:hAnsi="Cambria Math"/>
                  <w:i/>
                  <w:sz w:val="24"/>
                </w:rPr>
              </m:ctrlPr>
            </m:fPr>
            <m:num>
              <m:r>
                <w:rPr>
                  <w:rFonts w:ascii="Cambria Math" w:hAnsi="Cambria Math"/>
                  <w:sz w:val="24"/>
                </w:rPr>
                <m:t>344.256</m:t>
              </m:r>
              <m:d>
                <m:dPr>
                  <m:ctrlPr>
                    <w:rPr>
                      <w:rFonts w:ascii="Cambria Math" w:hAnsi="Cambria Math"/>
                      <w:i/>
                      <w:sz w:val="24"/>
                    </w:rPr>
                  </m:ctrlPr>
                </m:dPr>
                <m:e>
                  <m:r>
                    <w:rPr>
                      <w:rFonts w:ascii="Cambria Math" w:hAnsi="Cambria Math"/>
                      <w:sz w:val="24"/>
                    </w:rPr>
                    <m:t>kW</m:t>
                  </m:r>
                </m:e>
              </m:d>
              <m:r>
                <w:rPr>
                  <w:rFonts w:ascii="Cambria Math" w:hAnsi="Cambria Math"/>
                  <w:sz w:val="24"/>
                </w:rPr>
                <m:t>-321.165</m:t>
              </m:r>
              <m:d>
                <m:dPr>
                  <m:ctrlPr>
                    <w:rPr>
                      <w:rFonts w:ascii="Cambria Math" w:hAnsi="Cambria Math"/>
                      <w:i/>
                      <w:sz w:val="24"/>
                    </w:rPr>
                  </m:ctrlPr>
                </m:dPr>
                <m:e>
                  <m:r>
                    <w:rPr>
                      <w:rFonts w:ascii="Cambria Math" w:hAnsi="Cambria Math"/>
                      <w:sz w:val="24"/>
                    </w:rPr>
                    <m:t>kW</m:t>
                  </m:r>
                </m:e>
              </m:d>
            </m:num>
            <m:den>
              <m:r>
                <w:rPr>
                  <w:rFonts w:ascii="Cambria Math" w:hAnsi="Cambria Math"/>
                  <w:sz w:val="24"/>
                </w:rPr>
                <m:t>2,485,200</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Btu</m:t>
                      </m:r>
                    </m:num>
                    <m:den>
                      <m:r>
                        <w:rPr>
                          <w:rFonts w:ascii="Cambria Math" w:hAnsi="Cambria Math"/>
                          <w:sz w:val="24"/>
                        </w:rPr>
                        <m:t>h</m:t>
                      </m:r>
                    </m:den>
                  </m:f>
                </m:e>
              </m:d>
              <m:r>
                <w:rPr>
                  <w:rFonts w:ascii="Cambria Math" w:hAnsi="Cambria Math"/>
                  <w:sz w:val="24"/>
                </w:rPr>
                <m:t>/12,000</m:t>
              </m:r>
              <m:d>
                <m:dPr>
                  <m:ctrlPr>
                    <w:rPr>
                      <w:rFonts w:ascii="Cambria Math" w:hAnsi="Cambria Math"/>
                      <w:i/>
                      <w:sz w:val="24"/>
                    </w:rPr>
                  </m:ctrlPr>
                </m:dPr>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Btu</m:t>
                          </m:r>
                        </m:num>
                        <m:den>
                          <m:r>
                            <w:rPr>
                              <w:rFonts w:ascii="Cambria Math" w:hAnsi="Cambria Math"/>
                              <w:sz w:val="24"/>
                            </w:rPr>
                            <m:t>h</m:t>
                          </m:r>
                        </m:den>
                      </m:f>
                    </m:e>
                  </m:d>
                  <m:r>
                    <w:rPr>
                      <w:rFonts w:ascii="Cambria Math" w:hAnsi="Cambria Math"/>
                      <w:sz w:val="24"/>
                    </w:rPr>
                    <m:t>/ton</m:t>
                  </m:r>
                </m:e>
              </m:d>
            </m:den>
          </m:f>
        </m:oMath>
      </m:oMathPara>
    </w:p>
    <w:p w:rsidR="002E743C" w:rsidRPr="00DD3825" w:rsidRDefault="002E743C" w:rsidP="002E743C">
      <w:pPr>
        <w:rPr>
          <w:rFonts w:cs="Arial"/>
          <w:sz w:val="20"/>
          <w:szCs w:val="20"/>
        </w:rPr>
      </w:pPr>
    </w:p>
    <w:p w:rsidR="002E743C" w:rsidRPr="00DD3825" w:rsidRDefault="002E743C" w:rsidP="002E743C">
      <w:pPr>
        <w:rPr>
          <w:rFonts w:cs="Arial"/>
          <w:sz w:val="20"/>
          <w:szCs w:val="20"/>
        </w:rPr>
      </w:pPr>
      <w:r w:rsidRPr="00DD3825">
        <w:rPr>
          <w:rFonts w:cs="Arial"/>
          <w:sz w:val="20"/>
          <w:szCs w:val="20"/>
        </w:rPr>
        <w:t>Gas energy savings were set to zero for AC only system types.</w:t>
      </w:r>
    </w:p>
    <w:p w:rsidR="002E743C" w:rsidRPr="00DD3825" w:rsidRDefault="002E743C" w:rsidP="00FC7AEC">
      <w:pPr>
        <w:rPr>
          <w:rFonts w:cs="Arial"/>
          <w:sz w:val="20"/>
          <w:szCs w:val="20"/>
        </w:rPr>
      </w:pPr>
    </w:p>
    <w:p w:rsidR="007878B9" w:rsidRPr="00DD3825" w:rsidRDefault="00276ED1" w:rsidP="00BF0332">
      <w:pPr>
        <w:pStyle w:val="Heading2"/>
      </w:pPr>
      <w:bookmarkStart w:id="127" w:name="_Toc304800213"/>
      <w:bookmarkStart w:id="128" w:name="_Toc324318367"/>
      <w:bookmarkStart w:id="129" w:name="_Toc324340496"/>
      <w:bookmarkStart w:id="130" w:name="_Toc386811729"/>
      <w:r w:rsidRPr="00DD3825">
        <w:t xml:space="preserve">2.3. </w:t>
      </w:r>
      <w:r w:rsidR="007878B9" w:rsidRPr="00DD3825">
        <w:t>Gas Energy Savings Estimation Methodologies</w:t>
      </w:r>
      <w:bookmarkEnd w:id="127"/>
      <w:bookmarkEnd w:id="128"/>
      <w:bookmarkEnd w:id="129"/>
      <w:bookmarkEnd w:id="130"/>
    </w:p>
    <w:p w:rsidR="00D93AE9" w:rsidRPr="00DD3825" w:rsidRDefault="00D93AE9" w:rsidP="00AB675E">
      <w:r w:rsidRPr="00DD3825">
        <w:t xml:space="preserve">Gas energy savings are calculated similarly to electric energy savings. The gas energy savings from the first baseline are represented in the calculations below. </w:t>
      </w:r>
    </w:p>
    <w:p w:rsidR="00D93AE9" w:rsidRPr="00DD3825" w:rsidRDefault="00D93AE9" w:rsidP="00D93AE9">
      <w:pPr>
        <w:rPr>
          <w:rFonts w:cs="Arial"/>
          <w:i/>
          <w:sz w:val="20"/>
          <w:szCs w:val="20"/>
        </w:rPr>
      </w:pPr>
    </w:p>
    <w:p w:rsidR="00D93AE9" w:rsidRPr="00DD3825" w:rsidRDefault="00D93AE9" w:rsidP="00D93AE9">
      <w:pPr>
        <w:rPr>
          <w:rFonts w:cs="Arial"/>
          <w:i/>
          <w:sz w:val="24"/>
        </w:rPr>
      </w:pPr>
      <m:oMathPara>
        <m:oMathParaPr>
          <m:jc m:val="center"/>
        </m:oMathParaPr>
        <m:oMath>
          <m:r>
            <w:rPr>
              <w:rFonts w:ascii="Cambria Math" w:hAnsi="Cambria Math" w:cs="Arial"/>
              <w:sz w:val="24"/>
            </w:rPr>
            <m:t>therms per ton savings=</m:t>
          </m:r>
          <m:f>
            <m:fPr>
              <m:ctrlPr>
                <w:rPr>
                  <w:rFonts w:ascii="Cambria Math" w:hAnsi="Cambria Math" w:cs="Arial"/>
                  <w:i/>
                  <w:sz w:val="24"/>
                </w:rPr>
              </m:ctrlPr>
            </m:fPr>
            <m:num>
              <m:r>
                <w:rPr>
                  <w:rFonts w:ascii="Cambria Math" w:hAnsi="Cambria Math" w:cs="Arial"/>
                  <w:sz w:val="24"/>
                </w:rPr>
                <m:t>baseline therms-measure therms</m:t>
              </m:r>
            </m:num>
            <m:den>
              <m:r>
                <w:rPr>
                  <w:rFonts w:ascii="Cambria Math" w:hAnsi="Cambria Math" w:cs="Arial"/>
                  <w:sz w:val="24"/>
                </w:rPr>
                <m:t>cooling tons</m:t>
              </m:r>
            </m:den>
          </m:f>
        </m:oMath>
      </m:oMathPara>
    </w:p>
    <w:p w:rsidR="00D93AE9" w:rsidRPr="00DD3825" w:rsidRDefault="00D93AE9" w:rsidP="00D93AE9">
      <w:pPr>
        <w:rPr>
          <w:rFonts w:cs="Arial"/>
          <w:i/>
          <w:sz w:val="20"/>
          <w:szCs w:val="20"/>
        </w:rPr>
      </w:pPr>
      <w:r w:rsidRPr="00DD3825">
        <w:rPr>
          <w:rFonts w:cs="Arial"/>
          <w:i/>
          <w:sz w:val="20"/>
          <w:szCs w:val="20"/>
        </w:rPr>
        <w:t>Where:</w:t>
      </w:r>
    </w:p>
    <w:p w:rsidR="00D93AE9" w:rsidRPr="00DD3825" w:rsidRDefault="00D93AE9" w:rsidP="00D93AE9">
      <w:pPr>
        <w:rPr>
          <w:rFonts w:cs="Arial"/>
          <w:i/>
          <w:sz w:val="20"/>
          <w:szCs w:val="20"/>
        </w:rPr>
      </w:pPr>
      <w:r w:rsidRPr="00DD3825">
        <w:rPr>
          <w:rFonts w:cs="Arial"/>
          <w:i/>
          <w:sz w:val="20"/>
          <w:szCs w:val="20"/>
        </w:rPr>
        <w:t>therms per ton savings = annual unit energy savings</w:t>
      </w:r>
    </w:p>
    <w:p w:rsidR="00D93AE9" w:rsidRPr="00DD3825" w:rsidRDefault="00D93AE9" w:rsidP="00D93AE9">
      <w:pPr>
        <w:rPr>
          <w:rFonts w:cs="Arial"/>
          <w:i/>
          <w:sz w:val="20"/>
          <w:szCs w:val="20"/>
        </w:rPr>
      </w:pPr>
      <w:r w:rsidRPr="00DD3825">
        <w:rPr>
          <w:rFonts w:cs="Arial"/>
          <w:i/>
          <w:sz w:val="20"/>
          <w:szCs w:val="20"/>
        </w:rPr>
        <w:t>baseline therms = annual building energy consumption of customer average baseline</w:t>
      </w:r>
    </w:p>
    <w:p w:rsidR="00D93AE9" w:rsidRPr="00DD3825" w:rsidRDefault="00D93AE9" w:rsidP="00D93AE9">
      <w:pPr>
        <w:rPr>
          <w:rFonts w:cs="Arial"/>
          <w:i/>
          <w:sz w:val="20"/>
          <w:szCs w:val="20"/>
        </w:rPr>
      </w:pPr>
      <w:r w:rsidRPr="00DD3825">
        <w:rPr>
          <w:rFonts w:cs="Arial"/>
          <w:i/>
          <w:sz w:val="20"/>
          <w:szCs w:val="20"/>
        </w:rPr>
        <w:t>measure therms = annual building energy consumption of measure</w:t>
      </w:r>
    </w:p>
    <w:p w:rsidR="00D93AE9" w:rsidRPr="00DD3825" w:rsidRDefault="00D93AE9" w:rsidP="00D93AE9">
      <w:pPr>
        <w:rPr>
          <w:rFonts w:cs="Arial"/>
          <w:i/>
          <w:sz w:val="20"/>
          <w:szCs w:val="20"/>
        </w:rPr>
      </w:pPr>
      <w:r w:rsidRPr="00DD3825">
        <w:rPr>
          <w:rFonts w:cs="Arial"/>
          <w:i/>
          <w:sz w:val="20"/>
          <w:szCs w:val="20"/>
        </w:rPr>
        <w:t>cooling tons = cooling capacity of units measure was applied to (Btu/h) divided by 12,000 (Btu/h per ton)</w:t>
      </w:r>
    </w:p>
    <w:p w:rsidR="00D93AE9" w:rsidRPr="00DD3825" w:rsidRDefault="00D93AE9" w:rsidP="00D93AE9">
      <w:pPr>
        <w:rPr>
          <w:rFonts w:cs="Arial"/>
          <w:i/>
          <w:sz w:val="20"/>
          <w:szCs w:val="20"/>
        </w:rPr>
      </w:pPr>
    </w:p>
    <w:p w:rsidR="00D93AE9" w:rsidRPr="00DD3825" w:rsidRDefault="00D93AE9" w:rsidP="00D93AE9">
      <w:r w:rsidRPr="00DD3825">
        <w:t xml:space="preserve">A sample calculation using a 1985 vintage assembly (Asm) prototype using AC with gas heat located in climate zone 11 is provided below. </w:t>
      </w:r>
    </w:p>
    <w:p w:rsidR="00D93AE9" w:rsidRPr="00DD3825" w:rsidRDefault="00D93AE9" w:rsidP="00844B27">
      <w:pPr>
        <w:rPr>
          <w:rFonts w:cs="Arial"/>
          <w:sz w:val="20"/>
          <w:szCs w:val="20"/>
        </w:rPr>
      </w:pPr>
    </w:p>
    <w:p w:rsidR="00D93AE9" w:rsidRPr="00DD3825" w:rsidRDefault="00D93AE9" w:rsidP="00D93AE9">
      <w:r w:rsidRPr="00DD3825">
        <w:t xml:space="preserve">Table 13 provides electric energy use and cooling capacity data for the baseline and measure case on the Asm prototype approximating a building constructed in 1986 in climate zone 11. </w:t>
      </w:r>
    </w:p>
    <w:p w:rsidR="00D93AE9" w:rsidRPr="00DD3825" w:rsidRDefault="00D93AE9" w:rsidP="00D93AE9"/>
    <w:p w:rsidR="00D93AE9" w:rsidRPr="00DD3825" w:rsidRDefault="00D93AE9" w:rsidP="00D93AE9">
      <w:pPr>
        <w:pStyle w:val="Caption"/>
        <w:keepNext/>
        <w:jc w:val="center"/>
      </w:pPr>
      <w:bookmarkStart w:id="131" w:name="_Toc386811756"/>
      <w:r w:rsidRPr="00DD3825">
        <w:t xml:space="preserve">Table </w:t>
      </w:r>
      <w:r w:rsidR="00FF41C5">
        <w:fldChar w:fldCharType="begin"/>
      </w:r>
      <w:r w:rsidR="00FF41C5">
        <w:instrText xml:space="preserve"> SEQ Table \* ARABIC </w:instrText>
      </w:r>
      <w:r w:rsidR="00FF41C5">
        <w:fldChar w:fldCharType="separate"/>
      </w:r>
      <w:r w:rsidR="00B424F3">
        <w:rPr>
          <w:noProof/>
        </w:rPr>
        <w:t>16</w:t>
      </w:r>
      <w:r w:rsidR="00FF41C5">
        <w:rPr>
          <w:noProof/>
        </w:rPr>
        <w:fldChar w:fldCharType="end"/>
      </w:r>
      <w:r w:rsidRPr="00DD3825">
        <w:t xml:space="preserve"> Asm cz11 v85 AC with Gas Heat </w:t>
      </w:r>
      <w:r w:rsidR="000B52F7" w:rsidRPr="00DD3825">
        <w:t>Gas</w:t>
      </w:r>
      <w:r w:rsidRPr="00DD3825">
        <w:t xml:space="preserve"> Energy Use and Cooling Capacity Data</w:t>
      </w:r>
      <w:bookmarkEnd w:id="131"/>
    </w:p>
    <w:tbl>
      <w:tblPr>
        <w:tblStyle w:val="PGEWorkPaper"/>
        <w:tblW w:w="0" w:type="auto"/>
        <w:tblLook w:val="04A0" w:firstRow="1" w:lastRow="0" w:firstColumn="1" w:lastColumn="0" w:noHBand="0" w:noVBand="1"/>
      </w:tblPr>
      <w:tblGrid>
        <w:gridCol w:w="3301"/>
        <w:gridCol w:w="3314"/>
        <w:gridCol w:w="2961"/>
      </w:tblGrid>
      <w:tr w:rsidR="002E743C" w:rsidRPr="00DD3825" w:rsidTr="00FC7AEC">
        <w:trPr>
          <w:cnfStyle w:val="100000000000" w:firstRow="1" w:lastRow="0" w:firstColumn="0" w:lastColumn="0" w:oddVBand="0" w:evenVBand="0" w:oddHBand="0" w:evenHBand="0" w:firstRowFirstColumn="0" w:firstRowLastColumn="0" w:lastRowFirstColumn="0" w:lastRowLastColumn="0"/>
        </w:trPr>
        <w:tc>
          <w:tcPr>
            <w:tcW w:w="3301" w:type="dxa"/>
          </w:tcPr>
          <w:p w:rsidR="002E743C" w:rsidRPr="00DD3825" w:rsidRDefault="002E743C" w:rsidP="009F237B">
            <w:pPr>
              <w:rPr>
                <w:color w:val="auto"/>
              </w:rPr>
            </w:pPr>
          </w:p>
        </w:tc>
        <w:tc>
          <w:tcPr>
            <w:tcW w:w="3314" w:type="dxa"/>
          </w:tcPr>
          <w:p w:rsidR="002E743C" w:rsidRPr="00DD3825" w:rsidRDefault="002E743C" w:rsidP="009F237B">
            <w:pPr>
              <w:rPr>
                <w:rFonts w:cs="Arial"/>
                <w:color w:val="auto"/>
                <w:sz w:val="20"/>
                <w:szCs w:val="20"/>
              </w:rPr>
            </w:pPr>
            <w:r w:rsidRPr="00DD3825">
              <w:rPr>
                <w:rFonts w:cs="Arial"/>
                <w:color w:val="auto"/>
                <w:sz w:val="20"/>
                <w:szCs w:val="20"/>
              </w:rPr>
              <w:t>Baseline</w:t>
            </w:r>
          </w:p>
        </w:tc>
        <w:tc>
          <w:tcPr>
            <w:tcW w:w="2961" w:type="dxa"/>
          </w:tcPr>
          <w:p w:rsidR="002E743C" w:rsidRPr="00DD3825" w:rsidRDefault="002E743C" w:rsidP="009F237B">
            <w:pPr>
              <w:rPr>
                <w:rFonts w:cs="Arial"/>
                <w:color w:val="auto"/>
                <w:sz w:val="20"/>
                <w:szCs w:val="20"/>
              </w:rPr>
            </w:pPr>
            <w:r w:rsidRPr="00DD3825">
              <w:rPr>
                <w:rFonts w:cs="Arial"/>
                <w:color w:val="auto"/>
                <w:sz w:val="20"/>
                <w:szCs w:val="20"/>
              </w:rPr>
              <w:t>Measure</w:t>
            </w:r>
          </w:p>
        </w:tc>
      </w:tr>
      <w:tr w:rsidR="002E743C" w:rsidRPr="00DD3825" w:rsidTr="00FC7AEC">
        <w:trPr>
          <w:cnfStyle w:val="000000100000" w:firstRow="0" w:lastRow="0" w:firstColumn="0" w:lastColumn="0" w:oddVBand="0" w:evenVBand="0" w:oddHBand="1" w:evenHBand="0" w:firstRowFirstColumn="0" w:firstRowLastColumn="0" w:lastRowFirstColumn="0" w:lastRowLastColumn="0"/>
        </w:trPr>
        <w:tc>
          <w:tcPr>
            <w:tcW w:w="3301" w:type="dxa"/>
          </w:tcPr>
          <w:p w:rsidR="002E743C" w:rsidRPr="00DD3825" w:rsidRDefault="002E743C" w:rsidP="002E743C">
            <w:r w:rsidRPr="00DD3825">
              <w:t>Whole building energy use (therms/yr)</w:t>
            </w:r>
          </w:p>
        </w:tc>
        <w:tc>
          <w:tcPr>
            <w:tcW w:w="3314" w:type="dxa"/>
          </w:tcPr>
          <w:p w:rsidR="002E743C" w:rsidRPr="00DD3825" w:rsidRDefault="002E743C" w:rsidP="009F237B">
            <w:pPr>
              <w:rPr>
                <w:rFonts w:cs="Arial"/>
                <w:sz w:val="20"/>
                <w:szCs w:val="20"/>
              </w:rPr>
            </w:pPr>
            <w:r w:rsidRPr="00DD3825">
              <w:rPr>
                <w:rFonts w:cs="Arial"/>
                <w:sz w:val="20"/>
                <w:szCs w:val="20"/>
              </w:rPr>
              <w:t>20,613.92</w:t>
            </w:r>
          </w:p>
        </w:tc>
        <w:tc>
          <w:tcPr>
            <w:tcW w:w="2961" w:type="dxa"/>
          </w:tcPr>
          <w:p w:rsidR="002E743C" w:rsidRPr="00DD3825" w:rsidRDefault="002E743C" w:rsidP="009F237B">
            <w:pPr>
              <w:rPr>
                <w:rFonts w:cs="Arial"/>
                <w:sz w:val="20"/>
                <w:szCs w:val="20"/>
              </w:rPr>
            </w:pPr>
            <w:r w:rsidRPr="00DD3825">
              <w:rPr>
                <w:rFonts w:cs="Arial"/>
                <w:sz w:val="20"/>
                <w:szCs w:val="20"/>
              </w:rPr>
              <w:t>11,879.14</w:t>
            </w:r>
          </w:p>
        </w:tc>
      </w:tr>
      <w:tr w:rsidR="002E743C" w:rsidRPr="00DD3825" w:rsidTr="00FC7AEC">
        <w:trPr>
          <w:cnfStyle w:val="000000010000" w:firstRow="0" w:lastRow="0" w:firstColumn="0" w:lastColumn="0" w:oddVBand="0" w:evenVBand="0" w:oddHBand="0" w:evenHBand="1" w:firstRowFirstColumn="0" w:firstRowLastColumn="0" w:lastRowFirstColumn="0" w:lastRowLastColumn="0"/>
        </w:trPr>
        <w:tc>
          <w:tcPr>
            <w:tcW w:w="3301" w:type="dxa"/>
          </w:tcPr>
          <w:p w:rsidR="002E743C" w:rsidRPr="00DD3825" w:rsidRDefault="002E743C" w:rsidP="009F237B">
            <w:r w:rsidRPr="00DD3825">
              <w:t>System cooling capacity (Btu/h)</w:t>
            </w:r>
          </w:p>
        </w:tc>
        <w:tc>
          <w:tcPr>
            <w:tcW w:w="3314" w:type="dxa"/>
          </w:tcPr>
          <w:p w:rsidR="002E743C" w:rsidRPr="00DD3825" w:rsidRDefault="002E743C" w:rsidP="009F237B">
            <w:pPr>
              <w:rPr>
                <w:rFonts w:cs="Arial"/>
                <w:sz w:val="20"/>
                <w:szCs w:val="20"/>
              </w:rPr>
            </w:pPr>
            <w:r w:rsidRPr="00DD3825">
              <w:rPr>
                <w:rFonts w:cs="Arial"/>
                <w:sz w:val="20"/>
                <w:szCs w:val="20"/>
              </w:rPr>
              <w:t>2,485,200</w:t>
            </w:r>
          </w:p>
        </w:tc>
        <w:tc>
          <w:tcPr>
            <w:tcW w:w="2961" w:type="dxa"/>
          </w:tcPr>
          <w:p w:rsidR="002E743C" w:rsidRPr="00DD3825" w:rsidRDefault="002E743C" w:rsidP="009F237B">
            <w:pPr>
              <w:rPr>
                <w:rFonts w:cs="Arial"/>
                <w:sz w:val="20"/>
                <w:szCs w:val="20"/>
              </w:rPr>
            </w:pPr>
            <w:r w:rsidRPr="00DD3825">
              <w:rPr>
                <w:rFonts w:cs="Arial"/>
                <w:sz w:val="20"/>
                <w:szCs w:val="20"/>
              </w:rPr>
              <w:t>2,485,200</w:t>
            </w:r>
          </w:p>
        </w:tc>
      </w:tr>
    </w:tbl>
    <w:p w:rsidR="00D93AE9" w:rsidRPr="00DD3825" w:rsidRDefault="00D93AE9" w:rsidP="00D93AE9">
      <w:pPr>
        <w:rPr>
          <w:sz w:val="24"/>
        </w:rPr>
      </w:pPr>
    </w:p>
    <w:p w:rsidR="00D93AE9" w:rsidRPr="00DD3825" w:rsidRDefault="000B52F7" w:rsidP="00D93AE9">
      <w:pPr>
        <w:jc w:val="center"/>
      </w:pPr>
      <m:oMathPara>
        <m:oMath>
          <m:r>
            <w:rPr>
              <w:rFonts w:ascii="Cambria Math" w:hAnsi="Cambria Math"/>
              <w:sz w:val="24"/>
            </w:rPr>
            <m:t>42.18</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therms</m:t>
                  </m:r>
                </m:num>
                <m:den>
                  <m:r>
                    <w:rPr>
                      <w:rFonts w:ascii="Cambria Math" w:hAnsi="Cambria Math"/>
                      <w:sz w:val="24"/>
                    </w:rPr>
                    <m:t>ton x year</m:t>
                  </m:r>
                </m:den>
              </m:f>
            </m:e>
          </m:d>
          <m:r>
            <w:rPr>
              <w:rFonts w:ascii="Cambria Math" w:hAnsi="Cambria Math"/>
              <w:sz w:val="24"/>
            </w:rPr>
            <m:t>=</m:t>
          </m:r>
          <m:f>
            <m:fPr>
              <m:ctrlPr>
                <w:rPr>
                  <w:rFonts w:ascii="Cambria Math" w:hAnsi="Cambria Math"/>
                  <w:i/>
                  <w:sz w:val="24"/>
                </w:rPr>
              </m:ctrlPr>
            </m:fPr>
            <m:num>
              <m:r>
                <w:rPr>
                  <w:rFonts w:ascii="Cambria Math" w:hAnsi="Cambria Math"/>
                  <w:sz w:val="24"/>
                </w:rPr>
                <m:t>20,613.92</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therms</m:t>
                      </m:r>
                    </m:num>
                    <m:den>
                      <m:r>
                        <w:rPr>
                          <w:rFonts w:ascii="Cambria Math" w:hAnsi="Cambria Math"/>
                          <w:sz w:val="24"/>
                        </w:rPr>
                        <m:t>year</m:t>
                      </m:r>
                    </m:den>
                  </m:f>
                </m:e>
              </m:d>
              <m:r>
                <w:rPr>
                  <w:rFonts w:ascii="Cambria Math" w:hAnsi="Cambria Math"/>
                  <w:sz w:val="24"/>
                </w:rPr>
                <m:t>-11,879.14</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therms</m:t>
                      </m:r>
                    </m:num>
                    <m:den>
                      <m:r>
                        <w:rPr>
                          <w:rFonts w:ascii="Cambria Math" w:hAnsi="Cambria Math"/>
                          <w:sz w:val="24"/>
                        </w:rPr>
                        <m:t>year</m:t>
                      </m:r>
                    </m:den>
                  </m:f>
                </m:e>
              </m:d>
            </m:num>
            <m:den>
              <m:r>
                <w:rPr>
                  <w:rFonts w:ascii="Cambria Math" w:hAnsi="Cambria Math"/>
                  <w:sz w:val="24"/>
                </w:rPr>
                <m:t>2,485,200</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Btu</m:t>
                      </m:r>
                    </m:num>
                    <m:den>
                      <m:r>
                        <w:rPr>
                          <w:rFonts w:ascii="Cambria Math" w:hAnsi="Cambria Math"/>
                          <w:sz w:val="24"/>
                        </w:rPr>
                        <m:t>h</m:t>
                      </m:r>
                    </m:den>
                  </m:f>
                </m:e>
              </m:d>
              <m:r>
                <w:rPr>
                  <w:rFonts w:ascii="Cambria Math" w:hAnsi="Cambria Math"/>
                  <w:sz w:val="24"/>
                </w:rPr>
                <m:t>/12,000</m:t>
              </m:r>
              <m:d>
                <m:dPr>
                  <m:ctrlPr>
                    <w:rPr>
                      <w:rFonts w:ascii="Cambria Math" w:hAnsi="Cambria Math"/>
                      <w:i/>
                      <w:sz w:val="24"/>
                    </w:rPr>
                  </m:ctrlPr>
                </m:dPr>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Btu</m:t>
                          </m:r>
                        </m:num>
                        <m:den>
                          <m:r>
                            <w:rPr>
                              <w:rFonts w:ascii="Cambria Math" w:hAnsi="Cambria Math"/>
                              <w:sz w:val="24"/>
                            </w:rPr>
                            <m:t>h</m:t>
                          </m:r>
                        </m:den>
                      </m:f>
                    </m:e>
                  </m:d>
                  <m:r>
                    <w:rPr>
                      <w:rFonts w:ascii="Cambria Math" w:hAnsi="Cambria Math"/>
                      <w:sz w:val="24"/>
                    </w:rPr>
                    <m:t>/ton</m:t>
                  </m:r>
                </m:e>
              </m:d>
            </m:den>
          </m:f>
        </m:oMath>
      </m:oMathPara>
    </w:p>
    <w:p w:rsidR="00A111F4" w:rsidRPr="00DD3825" w:rsidRDefault="00A111F4" w:rsidP="00844B27">
      <w:pPr>
        <w:rPr>
          <w:rFonts w:cs="Arial"/>
          <w:sz w:val="20"/>
          <w:szCs w:val="20"/>
        </w:rPr>
      </w:pPr>
    </w:p>
    <w:p w:rsidR="00A111F4" w:rsidRPr="00DD3825" w:rsidRDefault="00A111F4" w:rsidP="00AB675E">
      <w:r w:rsidRPr="00DD3825">
        <w:t>Gas energy savings were set to zero for AC only system types.</w:t>
      </w:r>
    </w:p>
    <w:p w:rsidR="006B67A3" w:rsidRPr="00DD3825" w:rsidRDefault="006B67A3" w:rsidP="00FC7AEC">
      <w:pPr>
        <w:pStyle w:val="Heading2"/>
        <w:numPr>
          <w:ilvl w:val="1"/>
          <w:numId w:val="29"/>
        </w:numPr>
      </w:pPr>
      <w:bookmarkStart w:id="132" w:name="_Toc386811730"/>
      <w:r w:rsidRPr="00DD3825">
        <w:t>Vintage Weighted Average</w:t>
      </w:r>
      <w:bookmarkEnd w:id="132"/>
    </w:p>
    <w:p w:rsidR="007A6791" w:rsidRPr="00DD3825" w:rsidRDefault="006B67A3" w:rsidP="00FC7AEC">
      <w:r w:rsidRPr="00DD3825">
        <w:t xml:space="preserve">Baseline and measure simulations used prototypes for the following 6 DEER vintages: v75, v85, v96, v03, v07, and v11. The weighted average </w:t>
      </w:r>
      <w:r w:rsidR="007A6791" w:rsidRPr="00DD3825">
        <w:t xml:space="preserve">electric and gas </w:t>
      </w:r>
      <w:r w:rsidRPr="00DD3825">
        <w:t>energy savings</w:t>
      </w:r>
      <w:r w:rsidR="007A6791" w:rsidRPr="00DD3825">
        <w:t>, and demand reduction</w:t>
      </w:r>
      <w:r w:rsidRPr="00DD3825">
        <w:t xml:space="preserve"> for application of the measure to any vintage were then developed using DEER 2014 vintage weighting tables</w:t>
      </w:r>
      <w:r w:rsidR="007A6791" w:rsidRPr="00DD3825">
        <w:t xml:space="preserve"> and procedures.</w:t>
      </w:r>
      <w:r w:rsidR="00A13830" w:rsidRPr="00DD3825">
        <w:t xml:space="preserve"> The following equation provides the methodology used to apply the DEER 2014 weights. </w:t>
      </w:r>
      <w:r w:rsidR="00A13830" w:rsidRPr="00DD3825">
        <w:fldChar w:fldCharType="begin"/>
      </w:r>
      <w:r w:rsidR="00A13830" w:rsidRPr="00DD3825">
        <w:instrText xml:space="preserve"> REF _Ref384739524 \h </w:instrText>
      </w:r>
      <w:r w:rsidR="00DD3825">
        <w:instrText xml:space="preserve"> \* MERGEFORMAT </w:instrText>
      </w:r>
      <w:r w:rsidR="00A13830" w:rsidRPr="00DD3825">
        <w:fldChar w:fldCharType="separate"/>
      </w:r>
      <w:r w:rsidR="00B424F3" w:rsidRPr="00B424F3">
        <w:rPr>
          <w:b/>
        </w:rPr>
        <w:t xml:space="preserve">Table </w:t>
      </w:r>
      <w:r w:rsidR="00B424F3" w:rsidRPr="00B424F3">
        <w:rPr>
          <w:b/>
          <w:noProof/>
        </w:rPr>
        <w:t>17</w:t>
      </w:r>
      <w:r w:rsidR="00A13830" w:rsidRPr="00DD3825">
        <w:fldChar w:fldCharType="end"/>
      </w:r>
      <w:r w:rsidR="00A13830" w:rsidRPr="00DD3825">
        <w:t xml:space="preserve"> provides sample data showing savings by vintage and the final weighted values using DEER weights for PG&amp;E territory assembly buildings in climate zone 11.</w:t>
      </w:r>
    </w:p>
    <w:p w:rsidR="00F85CEE" w:rsidRPr="00DD3825" w:rsidRDefault="00F85CEE" w:rsidP="00FC7AEC"/>
    <w:p w:rsidR="00F85CEE" w:rsidRPr="00DD3825" w:rsidRDefault="00F85CEE" w:rsidP="00FC7AEC"/>
    <w:p w:rsidR="00F04D07" w:rsidRPr="00DD3825" w:rsidRDefault="00F04D07" w:rsidP="00A13830">
      <w:pPr>
        <w:jc w:val="center"/>
        <w:rPr>
          <w:sz w:val="24"/>
        </w:rPr>
      </w:pPr>
      <w:r w:rsidRPr="00DD3825">
        <w:lastRenderedPageBreak/>
        <w:br/>
      </w:r>
      <m:oMathPara>
        <m:oMath>
          <m:r>
            <w:rPr>
              <w:rFonts w:ascii="Cambria Math" w:hAnsi="Cambria Math"/>
              <w:sz w:val="24"/>
            </w:rPr>
            <m:t>final weighted value=</m:t>
          </m:r>
          <m:f>
            <m:fPr>
              <m:ctrlPr>
                <w:rPr>
                  <w:rFonts w:ascii="Cambria Math" w:hAnsi="Cambria Math"/>
                  <w:i/>
                  <w:sz w:val="24"/>
                </w:rPr>
              </m:ctrlPr>
            </m:fPr>
            <m:num>
              <m:nary>
                <m:naryPr>
                  <m:chr m:val="∑"/>
                  <m:limLoc m:val="undOvr"/>
                  <m:ctrlPr>
                    <w:rPr>
                      <w:rFonts w:ascii="Cambria Math" w:hAnsi="Cambria Math"/>
                      <w:i/>
                      <w:sz w:val="24"/>
                    </w:rPr>
                  </m:ctrlPr>
                </m:naryPr>
                <m:sub>
                  <m:r>
                    <w:rPr>
                      <w:rFonts w:ascii="Cambria Math" w:hAnsi="Cambria Math"/>
                      <w:sz w:val="24"/>
                    </w:rPr>
                    <m:t>i=75</m:t>
                  </m:r>
                </m:sub>
                <m:sup>
                  <m:r>
                    <w:rPr>
                      <w:rFonts w:ascii="Cambria Math" w:hAnsi="Cambria Math"/>
                      <w:sz w:val="24"/>
                    </w:rPr>
                    <m:t>07</m:t>
                  </m:r>
                </m:sup>
                <m:e>
                  <m:sSub>
                    <m:sSubPr>
                      <m:ctrlPr>
                        <w:rPr>
                          <w:rFonts w:ascii="Cambria Math" w:hAnsi="Cambria Math"/>
                          <w:i/>
                          <w:sz w:val="24"/>
                        </w:rPr>
                      </m:ctrlPr>
                    </m:sSubPr>
                    <m:e>
                      <m:r>
                        <w:rPr>
                          <w:rFonts w:ascii="Cambria Math" w:hAnsi="Cambria Math"/>
                          <w:sz w:val="24"/>
                        </w:rPr>
                        <m:t>W</m:t>
                      </m:r>
                    </m:e>
                    <m:sub>
                      <m:r>
                        <w:rPr>
                          <w:rFonts w:ascii="Cambria Math" w:hAnsi="Cambria Math"/>
                          <w:sz w:val="24"/>
                        </w:rPr>
                        <m:t>i</m:t>
                      </m:r>
                    </m:sub>
                  </m:sSub>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V</m:t>
                      </m:r>
                    </m:e>
                    <m:sub>
                      <m:r>
                        <w:rPr>
                          <w:rFonts w:ascii="Cambria Math" w:hAnsi="Cambria Math"/>
                          <w:sz w:val="24"/>
                        </w:rPr>
                        <m:t>i</m:t>
                      </m:r>
                    </m:sub>
                  </m:sSub>
                </m:e>
              </m:nary>
            </m:num>
            <m:den>
              <m:nary>
                <m:naryPr>
                  <m:chr m:val="∑"/>
                  <m:limLoc m:val="undOvr"/>
                  <m:ctrlPr>
                    <w:rPr>
                      <w:rFonts w:ascii="Cambria Math" w:hAnsi="Cambria Math"/>
                      <w:i/>
                      <w:sz w:val="24"/>
                    </w:rPr>
                  </m:ctrlPr>
                </m:naryPr>
                <m:sub>
                  <m:r>
                    <w:rPr>
                      <w:rFonts w:ascii="Cambria Math" w:hAnsi="Cambria Math"/>
                      <w:sz w:val="24"/>
                    </w:rPr>
                    <m:t>i=75</m:t>
                  </m:r>
                </m:sub>
                <m:sup>
                  <m:r>
                    <w:rPr>
                      <w:rFonts w:ascii="Cambria Math" w:hAnsi="Cambria Math"/>
                      <w:sz w:val="24"/>
                    </w:rPr>
                    <m:t>07</m:t>
                  </m:r>
                </m:sup>
                <m:e>
                  <m:r>
                    <w:rPr>
                      <w:rFonts w:ascii="Cambria Math" w:hAnsi="Cambria Math"/>
                      <w:sz w:val="24"/>
                    </w:rPr>
                    <m:t>Wi</m:t>
                  </m:r>
                </m:e>
              </m:nary>
            </m:den>
          </m:f>
        </m:oMath>
      </m:oMathPara>
    </w:p>
    <w:p w:rsidR="00B1338A" w:rsidRPr="00DD3825" w:rsidRDefault="00F04D07" w:rsidP="00F04D07">
      <w:pPr>
        <w:rPr>
          <w:i/>
          <w:sz w:val="20"/>
          <w:szCs w:val="20"/>
        </w:rPr>
      </w:pPr>
      <w:r w:rsidRPr="00DD3825">
        <w:rPr>
          <w:i/>
          <w:sz w:val="20"/>
          <w:szCs w:val="20"/>
        </w:rPr>
        <w:t>Where</w:t>
      </w:r>
      <w:r w:rsidR="00B1338A" w:rsidRPr="00DD3825">
        <w:rPr>
          <w:i/>
          <w:sz w:val="20"/>
          <w:szCs w:val="20"/>
        </w:rPr>
        <w:t>:</w:t>
      </w:r>
      <w:r w:rsidRPr="00DD3825">
        <w:rPr>
          <w:i/>
          <w:sz w:val="20"/>
          <w:szCs w:val="20"/>
        </w:rPr>
        <w:t xml:space="preserve"> </w:t>
      </w:r>
    </w:p>
    <w:p w:rsidR="00B1338A" w:rsidRPr="00DD3825" w:rsidRDefault="00B1338A" w:rsidP="00F04D07">
      <w:pPr>
        <w:rPr>
          <w:i/>
          <w:sz w:val="20"/>
          <w:szCs w:val="20"/>
        </w:rPr>
      </w:pPr>
      <w:r w:rsidRPr="00DD3825">
        <w:rPr>
          <w:i/>
          <w:sz w:val="20"/>
          <w:szCs w:val="20"/>
        </w:rPr>
        <w:t>final weighted value=reported UES value (kWh/ton, kW/ton, or therms/ton)</w:t>
      </w:r>
    </w:p>
    <w:p w:rsidR="00F04D07" w:rsidRPr="00DD3825" w:rsidRDefault="00F04D07" w:rsidP="00F04D07">
      <w:pPr>
        <w:rPr>
          <w:i/>
          <w:sz w:val="20"/>
          <w:szCs w:val="20"/>
        </w:rPr>
      </w:pPr>
      <w:r w:rsidRPr="00DD3825">
        <w:rPr>
          <w:i/>
          <w:sz w:val="20"/>
          <w:szCs w:val="20"/>
        </w:rPr>
        <w:t xml:space="preserve">i=vintage 75, </w:t>
      </w:r>
      <w:r w:rsidR="00023593" w:rsidRPr="00DD3825">
        <w:rPr>
          <w:i/>
          <w:sz w:val="20"/>
          <w:szCs w:val="20"/>
        </w:rPr>
        <w:t>85, 96, 03, 07</w:t>
      </w:r>
      <w:r w:rsidR="00B1338A" w:rsidRPr="00DD3825">
        <w:rPr>
          <w:i/>
          <w:sz w:val="20"/>
          <w:szCs w:val="20"/>
        </w:rPr>
        <w:t>, or 11</w:t>
      </w:r>
    </w:p>
    <w:p w:rsidR="00B1338A" w:rsidRPr="00DD3825" w:rsidRDefault="00B1338A" w:rsidP="00F04D07">
      <w:pPr>
        <w:rPr>
          <w:i/>
          <w:sz w:val="20"/>
          <w:szCs w:val="20"/>
        </w:rPr>
      </w:pPr>
      <w:r w:rsidRPr="00DD3825">
        <w:rPr>
          <w:i/>
          <w:sz w:val="20"/>
          <w:szCs w:val="20"/>
        </w:rPr>
        <w:t>W=Weight for a given vintage</w:t>
      </w:r>
      <w:r w:rsidR="00B80787" w:rsidRPr="00DD3825">
        <w:rPr>
          <w:i/>
          <w:sz w:val="20"/>
          <w:szCs w:val="20"/>
        </w:rPr>
        <w:t xml:space="preserve"> i</w:t>
      </w:r>
    </w:p>
    <w:p w:rsidR="00F04D07" w:rsidRPr="00DD3825" w:rsidRDefault="00B1338A" w:rsidP="00A13830">
      <w:pPr>
        <w:rPr>
          <w:i/>
          <w:sz w:val="20"/>
          <w:szCs w:val="20"/>
        </w:rPr>
      </w:pPr>
      <w:r w:rsidRPr="00DD3825">
        <w:rPr>
          <w:i/>
          <w:sz w:val="20"/>
          <w:szCs w:val="20"/>
        </w:rPr>
        <w:t>V=UES Value for a given vintage (kWh/ton, kW/ton, or therms/ton)</w:t>
      </w:r>
    </w:p>
    <w:p w:rsidR="00F04D07" w:rsidRPr="00DD3825" w:rsidRDefault="00F04D07" w:rsidP="00F04D07">
      <w:pPr>
        <w:rPr>
          <w:sz w:val="24"/>
        </w:rPr>
      </w:pPr>
    </w:p>
    <w:p w:rsidR="006871A4" w:rsidRPr="00DD3825" w:rsidRDefault="006871A4" w:rsidP="00DD3825">
      <w:pPr>
        <w:pStyle w:val="Caption"/>
        <w:keepNext/>
        <w:jc w:val="center"/>
      </w:pPr>
      <w:bookmarkStart w:id="133" w:name="_Ref384739524"/>
      <w:bookmarkStart w:id="134" w:name="_Toc386811757"/>
      <w:r w:rsidRPr="00DD3825">
        <w:t xml:space="preserve">Table </w:t>
      </w:r>
      <w:r w:rsidR="00FF41C5">
        <w:fldChar w:fldCharType="begin"/>
      </w:r>
      <w:r w:rsidR="00FF41C5">
        <w:instrText xml:space="preserve"> SEQ Table \* ARABIC </w:instrText>
      </w:r>
      <w:r w:rsidR="00FF41C5">
        <w:fldChar w:fldCharType="separate"/>
      </w:r>
      <w:r w:rsidR="00B424F3">
        <w:rPr>
          <w:noProof/>
        </w:rPr>
        <w:t>17</w:t>
      </w:r>
      <w:r w:rsidR="00FF41C5">
        <w:rPr>
          <w:noProof/>
        </w:rPr>
        <w:fldChar w:fldCharType="end"/>
      </w:r>
      <w:bookmarkEnd w:id="133"/>
      <w:r w:rsidRPr="00DD3825">
        <w:t xml:space="preserve"> Sample Vintage Weights for PG&amp;E Asm CZ11</w:t>
      </w:r>
      <w:bookmarkEnd w:id="134"/>
    </w:p>
    <w:tbl>
      <w:tblPr>
        <w:tblStyle w:val="PGEWorkPaper"/>
        <w:tblW w:w="8868" w:type="dxa"/>
        <w:jc w:val="center"/>
        <w:tblLook w:val="04A0" w:firstRow="1" w:lastRow="0" w:firstColumn="1" w:lastColumn="0" w:noHBand="0" w:noVBand="1"/>
      </w:tblPr>
      <w:tblGrid>
        <w:gridCol w:w="1528"/>
        <w:gridCol w:w="1676"/>
        <w:gridCol w:w="1416"/>
        <w:gridCol w:w="1416"/>
        <w:gridCol w:w="1416"/>
        <w:gridCol w:w="1416"/>
      </w:tblGrid>
      <w:tr w:rsidR="007E0CC0" w:rsidRPr="00DD3825" w:rsidTr="00A13830">
        <w:trPr>
          <w:cnfStyle w:val="100000000000" w:firstRow="1" w:lastRow="0" w:firstColumn="0" w:lastColumn="0" w:oddVBand="0" w:evenVBand="0" w:oddHBand="0" w:evenHBand="0" w:firstRowFirstColumn="0" w:firstRowLastColumn="0" w:lastRowFirstColumn="0" w:lastRowLastColumn="0"/>
          <w:trHeight w:val="300"/>
          <w:jc w:val="center"/>
        </w:trPr>
        <w:tc>
          <w:tcPr>
            <w:tcW w:w="1528" w:type="dxa"/>
            <w:noWrap/>
            <w:hideMark/>
          </w:tcPr>
          <w:p w:rsidR="007E0CC0" w:rsidRPr="00DD3825" w:rsidRDefault="007E0CC0" w:rsidP="006871A4">
            <w:pPr>
              <w:rPr>
                <w:rFonts w:cs="Arial"/>
                <w:color w:val="auto"/>
                <w:szCs w:val="22"/>
              </w:rPr>
            </w:pPr>
            <w:r w:rsidRPr="00DD3825">
              <w:rPr>
                <w:rFonts w:cs="Arial"/>
                <w:color w:val="auto"/>
                <w:szCs w:val="22"/>
              </w:rPr>
              <w:t>WtSet</w:t>
            </w:r>
          </w:p>
        </w:tc>
        <w:tc>
          <w:tcPr>
            <w:tcW w:w="1676" w:type="dxa"/>
            <w:noWrap/>
            <w:hideMark/>
          </w:tcPr>
          <w:p w:rsidR="007E0CC0" w:rsidRPr="00DD3825" w:rsidRDefault="007E0CC0" w:rsidP="006871A4">
            <w:pPr>
              <w:rPr>
                <w:rFonts w:cs="Arial"/>
                <w:color w:val="auto"/>
                <w:szCs w:val="22"/>
              </w:rPr>
            </w:pPr>
            <w:r w:rsidRPr="00DD3825">
              <w:rPr>
                <w:rFonts w:cs="Arial"/>
                <w:color w:val="auto"/>
                <w:szCs w:val="22"/>
              </w:rPr>
              <w:t>Vintage</w:t>
            </w:r>
          </w:p>
        </w:tc>
        <w:tc>
          <w:tcPr>
            <w:tcW w:w="1416" w:type="dxa"/>
            <w:noWrap/>
            <w:hideMark/>
          </w:tcPr>
          <w:p w:rsidR="007E0CC0" w:rsidRPr="00DD3825" w:rsidRDefault="007E0CC0" w:rsidP="006871A4">
            <w:pPr>
              <w:rPr>
                <w:rFonts w:cs="Arial"/>
                <w:color w:val="auto"/>
                <w:szCs w:val="22"/>
              </w:rPr>
            </w:pPr>
            <w:r w:rsidRPr="00DD3825">
              <w:rPr>
                <w:rFonts w:cs="Arial"/>
                <w:color w:val="auto"/>
                <w:szCs w:val="22"/>
              </w:rPr>
              <w:t>DEER Weight</w:t>
            </w:r>
          </w:p>
        </w:tc>
        <w:tc>
          <w:tcPr>
            <w:tcW w:w="1416" w:type="dxa"/>
          </w:tcPr>
          <w:p w:rsidR="007E0CC0" w:rsidRPr="00DD3825" w:rsidRDefault="007E0CC0" w:rsidP="006871A4">
            <w:pPr>
              <w:rPr>
                <w:rFonts w:cs="Arial"/>
                <w:color w:val="auto"/>
                <w:szCs w:val="22"/>
              </w:rPr>
            </w:pPr>
            <w:r w:rsidRPr="00DD3825">
              <w:rPr>
                <w:rFonts w:cs="Arial"/>
                <w:color w:val="auto"/>
                <w:szCs w:val="22"/>
              </w:rPr>
              <w:t>Savings kWh/ton</w:t>
            </w:r>
          </w:p>
        </w:tc>
        <w:tc>
          <w:tcPr>
            <w:tcW w:w="1416" w:type="dxa"/>
          </w:tcPr>
          <w:p w:rsidR="007E0CC0" w:rsidRPr="00DD3825" w:rsidRDefault="007E0CC0" w:rsidP="006871A4">
            <w:pPr>
              <w:rPr>
                <w:rFonts w:cs="Arial"/>
                <w:color w:val="auto"/>
                <w:szCs w:val="22"/>
              </w:rPr>
            </w:pPr>
            <w:r w:rsidRPr="00DD3825">
              <w:rPr>
                <w:rFonts w:cs="Arial"/>
                <w:color w:val="auto"/>
                <w:szCs w:val="22"/>
              </w:rPr>
              <w:t>Demand Reduction kW/ton</w:t>
            </w:r>
          </w:p>
        </w:tc>
        <w:tc>
          <w:tcPr>
            <w:tcW w:w="1416" w:type="dxa"/>
          </w:tcPr>
          <w:p w:rsidR="007E0CC0" w:rsidRPr="00DD3825" w:rsidRDefault="007E0CC0" w:rsidP="006871A4">
            <w:pPr>
              <w:rPr>
                <w:rFonts w:cs="Arial"/>
                <w:color w:val="auto"/>
                <w:szCs w:val="22"/>
              </w:rPr>
            </w:pPr>
            <w:r w:rsidRPr="00DD3825">
              <w:rPr>
                <w:rFonts w:cs="Arial"/>
                <w:color w:val="auto"/>
                <w:szCs w:val="22"/>
              </w:rPr>
              <w:t>Savings Therms/ton</w:t>
            </w:r>
          </w:p>
        </w:tc>
      </w:tr>
      <w:tr w:rsidR="007E0CC0" w:rsidRPr="00DD3825" w:rsidTr="00A13830">
        <w:trPr>
          <w:cnfStyle w:val="000000100000" w:firstRow="0" w:lastRow="0" w:firstColumn="0" w:lastColumn="0" w:oddVBand="0" w:evenVBand="0" w:oddHBand="1" w:evenHBand="0" w:firstRowFirstColumn="0" w:firstRowLastColumn="0" w:lastRowFirstColumn="0" w:lastRowLastColumn="0"/>
          <w:trHeight w:val="285"/>
          <w:jc w:val="center"/>
        </w:trPr>
        <w:tc>
          <w:tcPr>
            <w:tcW w:w="1528" w:type="dxa"/>
            <w:noWrap/>
            <w:hideMark/>
          </w:tcPr>
          <w:p w:rsidR="007E0CC0" w:rsidRPr="00DD3825" w:rsidRDefault="007E0CC0" w:rsidP="006871A4">
            <w:pPr>
              <w:rPr>
                <w:rFonts w:cs="Arial"/>
                <w:sz w:val="20"/>
                <w:szCs w:val="20"/>
              </w:rPr>
            </w:pPr>
            <w:r w:rsidRPr="00DD3825">
              <w:rPr>
                <w:rFonts w:ascii="Calibri" w:hAnsi="Calibri" w:cs="Arial"/>
                <w:szCs w:val="22"/>
              </w:rPr>
              <w:t>PGEAsmCZ11</w:t>
            </w:r>
          </w:p>
        </w:tc>
        <w:tc>
          <w:tcPr>
            <w:tcW w:w="1676" w:type="dxa"/>
            <w:noWrap/>
            <w:hideMark/>
          </w:tcPr>
          <w:p w:rsidR="007E0CC0" w:rsidRPr="00DD3825" w:rsidRDefault="007E0CC0" w:rsidP="006871A4">
            <w:pPr>
              <w:jc w:val="right"/>
              <w:rPr>
                <w:rFonts w:cs="Arial"/>
                <w:sz w:val="20"/>
                <w:szCs w:val="20"/>
              </w:rPr>
            </w:pPr>
            <w:r w:rsidRPr="00DD3825">
              <w:rPr>
                <w:rFonts w:ascii="Calibri" w:hAnsi="Calibri" w:cs="Arial"/>
                <w:szCs w:val="22"/>
              </w:rPr>
              <w:t>v75</w:t>
            </w:r>
          </w:p>
        </w:tc>
        <w:tc>
          <w:tcPr>
            <w:tcW w:w="1416" w:type="dxa"/>
            <w:noWrap/>
            <w:hideMark/>
          </w:tcPr>
          <w:p w:rsidR="007E0CC0" w:rsidRPr="00DD3825" w:rsidRDefault="007E0CC0" w:rsidP="006871A4">
            <w:pPr>
              <w:jc w:val="right"/>
              <w:rPr>
                <w:rFonts w:cs="Arial"/>
                <w:sz w:val="20"/>
                <w:szCs w:val="20"/>
              </w:rPr>
            </w:pPr>
            <w:r w:rsidRPr="00DD3825">
              <w:rPr>
                <w:rFonts w:ascii="Calibri" w:hAnsi="Calibri" w:cs="Arial"/>
                <w:szCs w:val="22"/>
              </w:rPr>
              <w:t>2.968267</w:t>
            </w:r>
          </w:p>
        </w:tc>
        <w:tc>
          <w:tcPr>
            <w:tcW w:w="1416" w:type="dxa"/>
          </w:tcPr>
          <w:p w:rsidR="007E0CC0" w:rsidRPr="00DD3825" w:rsidRDefault="007E0CC0" w:rsidP="005C7E44">
            <w:pPr>
              <w:jc w:val="right"/>
              <w:rPr>
                <w:rFonts w:cs="Arial"/>
                <w:sz w:val="20"/>
                <w:szCs w:val="20"/>
              </w:rPr>
            </w:pPr>
            <w:r w:rsidRPr="00DD3825">
              <w:rPr>
                <w:rFonts w:ascii="Calibri" w:hAnsi="Calibri" w:cs="Arial"/>
                <w:szCs w:val="22"/>
              </w:rPr>
              <w:t>107.303</w:t>
            </w:r>
          </w:p>
        </w:tc>
        <w:tc>
          <w:tcPr>
            <w:tcW w:w="1416" w:type="dxa"/>
          </w:tcPr>
          <w:p w:rsidR="007E0CC0" w:rsidRPr="00DD3825" w:rsidRDefault="007E0CC0" w:rsidP="005C7E44">
            <w:pPr>
              <w:jc w:val="right"/>
              <w:rPr>
                <w:rFonts w:ascii="Calibri" w:hAnsi="Calibri" w:cs="Arial"/>
                <w:szCs w:val="22"/>
              </w:rPr>
            </w:pPr>
            <w:r w:rsidRPr="00DD3825">
              <w:rPr>
                <w:rFonts w:cs="Arial"/>
                <w:sz w:val="20"/>
                <w:szCs w:val="20"/>
              </w:rPr>
              <w:t>0.126274</w:t>
            </w:r>
          </w:p>
        </w:tc>
        <w:tc>
          <w:tcPr>
            <w:tcW w:w="1416" w:type="dxa"/>
          </w:tcPr>
          <w:p w:rsidR="007E0CC0" w:rsidRPr="00DD3825" w:rsidRDefault="007E0CC0" w:rsidP="005C7E44">
            <w:pPr>
              <w:jc w:val="right"/>
              <w:rPr>
                <w:rFonts w:ascii="Calibri" w:hAnsi="Calibri" w:cs="Arial"/>
                <w:szCs w:val="22"/>
              </w:rPr>
            </w:pPr>
            <w:r w:rsidRPr="00DD3825">
              <w:rPr>
                <w:rFonts w:cs="Arial"/>
                <w:sz w:val="20"/>
                <w:szCs w:val="20"/>
              </w:rPr>
              <w:t>39.634</w:t>
            </w:r>
          </w:p>
        </w:tc>
      </w:tr>
      <w:tr w:rsidR="007E0CC0" w:rsidRPr="00DD3825" w:rsidTr="00A13830">
        <w:trPr>
          <w:cnfStyle w:val="000000010000" w:firstRow="0" w:lastRow="0" w:firstColumn="0" w:lastColumn="0" w:oddVBand="0" w:evenVBand="0" w:oddHBand="0" w:evenHBand="1" w:firstRowFirstColumn="0" w:firstRowLastColumn="0" w:lastRowFirstColumn="0" w:lastRowLastColumn="0"/>
          <w:trHeight w:val="285"/>
          <w:jc w:val="center"/>
        </w:trPr>
        <w:tc>
          <w:tcPr>
            <w:tcW w:w="1528" w:type="dxa"/>
            <w:noWrap/>
            <w:hideMark/>
          </w:tcPr>
          <w:p w:rsidR="007E0CC0" w:rsidRPr="00DD3825" w:rsidRDefault="007E0CC0" w:rsidP="006871A4">
            <w:pPr>
              <w:rPr>
                <w:rFonts w:cs="Arial"/>
                <w:sz w:val="20"/>
                <w:szCs w:val="20"/>
              </w:rPr>
            </w:pPr>
            <w:r w:rsidRPr="00DD3825">
              <w:rPr>
                <w:rFonts w:ascii="Calibri" w:hAnsi="Calibri" w:cs="Arial"/>
                <w:szCs w:val="22"/>
              </w:rPr>
              <w:t>PGEAsmCZ11</w:t>
            </w:r>
          </w:p>
        </w:tc>
        <w:tc>
          <w:tcPr>
            <w:tcW w:w="1676" w:type="dxa"/>
            <w:noWrap/>
            <w:hideMark/>
          </w:tcPr>
          <w:p w:rsidR="007E0CC0" w:rsidRPr="00DD3825" w:rsidRDefault="007E0CC0" w:rsidP="006871A4">
            <w:pPr>
              <w:jc w:val="right"/>
              <w:rPr>
                <w:rFonts w:cs="Arial"/>
                <w:sz w:val="20"/>
                <w:szCs w:val="20"/>
              </w:rPr>
            </w:pPr>
            <w:r w:rsidRPr="00DD3825">
              <w:rPr>
                <w:rFonts w:ascii="Calibri" w:hAnsi="Calibri" w:cs="Arial"/>
                <w:szCs w:val="22"/>
              </w:rPr>
              <w:t>v85</w:t>
            </w:r>
          </w:p>
        </w:tc>
        <w:tc>
          <w:tcPr>
            <w:tcW w:w="1416" w:type="dxa"/>
            <w:noWrap/>
            <w:hideMark/>
          </w:tcPr>
          <w:p w:rsidR="007E0CC0" w:rsidRPr="00DD3825" w:rsidRDefault="007E0CC0" w:rsidP="006871A4">
            <w:pPr>
              <w:jc w:val="right"/>
              <w:rPr>
                <w:rFonts w:cs="Arial"/>
                <w:sz w:val="20"/>
                <w:szCs w:val="20"/>
              </w:rPr>
            </w:pPr>
            <w:r w:rsidRPr="00DD3825">
              <w:rPr>
                <w:rFonts w:ascii="Calibri" w:hAnsi="Calibri" w:cs="Arial"/>
                <w:szCs w:val="22"/>
              </w:rPr>
              <w:t>1.9187</w:t>
            </w:r>
          </w:p>
        </w:tc>
        <w:tc>
          <w:tcPr>
            <w:tcW w:w="1416" w:type="dxa"/>
          </w:tcPr>
          <w:p w:rsidR="007E0CC0" w:rsidRPr="00DD3825" w:rsidRDefault="007E0CC0" w:rsidP="005C7E44">
            <w:pPr>
              <w:jc w:val="right"/>
              <w:rPr>
                <w:rFonts w:cs="Arial"/>
                <w:sz w:val="20"/>
                <w:szCs w:val="20"/>
              </w:rPr>
            </w:pPr>
            <w:r w:rsidRPr="00DD3825">
              <w:rPr>
                <w:rFonts w:ascii="Calibri" w:hAnsi="Calibri" w:cs="Arial"/>
                <w:szCs w:val="22"/>
              </w:rPr>
              <w:t>96.709</w:t>
            </w:r>
          </w:p>
        </w:tc>
        <w:tc>
          <w:tcPr>
            <w:tcW w:w="1416" w:type="dxa"/>
          </w:tcPr>
          <w:p w:rsidR="007E0CC0" w:rsidRPr="00DD3825" w:rsidRDefault="007E0CC0" w:rsidP="005C7E44">
            <w:pPr>
              <w:jc w:val="right"/>
              <w:rPr>
                <w:rFonts w:ascii="Calibri" w:hAnsi="Calibri" w:cs="Arial"/>
                <w:szCs w:val="22"/>
              </w:rPr>
            </w:pPr>
            <w:r w:rsidRPr="00DD3825">
              <w:rPr>
                <w:rFonts w:cs="Arial"/>
                <w:sz w:val="20"/>
                <w:szCs w:val="20"/>
              </w:rPr>
              <w:t>0.111494</w:t>
            </w:r>
          </w:p>
        </w:tc>
        <w:tc>
          <w:tcPr>
            <w:tcW w:w="1416" w:type="dxa"/>
          </w:tcPr>
          <w:p w:rsidR="007E0CC0" w:rsidRPr="00DD3825" w:rsidRDefault="007E0CC0" w:rsidP="005C7E44">
            <w:pPr>
              <w:jc w:val="right"/>
              <w:rPr>
                <w:rFonts w:ascii="Calibri" w:hAnsi="Calibri" w:cs="Arial"/>
                <w:szCs w:val="22"/>
              </w:rPr>
            </w:pPr>
            <w:r w:rsidRPr="00DD3825">
              <w:rPr>
                <w:rFonts w:cs="Arial"/>
                <w:sz w:val="20"/>
                <w:szCs w:val="20"/>
              </w:rPr>
              <w:t>42.177</w:t>
            </w:r>
          </w:p>
        </w:tc>
      </w:tr>
      <w:tr w:rsidR="007E0CC0" w:rsidRPr="00DD3825" w:rsidTr="00A13830">
        <w:trPr>
          <w:cnfStyle w:val="000000100000" w:firstRow="0" w:lastRow="0" w:firstColumn="0" w:lastColumn="0" w:oddVBand="0" w:evenVBand="0" w:oddHBand="1" w:evenHBand="0" w:firstRowFirstColumn="0" w:firstRowLastColumn="0" w:lastRowFirstColumn="0" w:lastRowLastColumn="0"/>
          <w:trHeight w:val="285"/>
          <w:jc w:val="center"/>
        </w:trPr>
        <w:tc>
          <w:tcPr>
            <w:tcW w:w="1528" w:type="dxa"/>
            <w:noWrap/>
            <w:hideMark/>
          </w:tcPr>
          <w:p w:rsidR="007E0CC0" w:rsidRPr="00DD3825" w:rsidRDefault="007E0CC0" w:rsidP="006871A4">
            <w:pPr>
              <w:rPr>
                <w:rFonts w:cs="Arial"/>
                <w:sz w:val="20"/>
                <w:szCs w:val="20"/>
              </w:rPr>
            </w:pPr>
            <w:r w:rsidRPr="00DD3825">
              <w:rPr>
                <w:rFonts w:ascii="Calibri" w:hAnsi="Calibri" w:cs="Arial"/>
                <w:szCs w:val="22"/>
              </w:rPr>
              <w:t>PGEAsmCZ11</w:t>
            </w:r>
          </w:p>
        </w:tc>
        <w:tc>
          <w:tcPr>
            <w:tcW w:w="1676" w:type="dxa"/>
            <w:noWrap/>
            <w:hideMark/>
          </w:tcPr>
          <w:p w:rsidR="007E0CC0" w:rsidRPr="00DD3825" w:rsidRDefault="007E0CC0" w:rsidP="006871A4">
            <w:pPr>
              <w:jc w:val="right"/>
              <w:rPr>
                <w:rFonts w:cs="Arial"/>
                <w:sz w:val="20"/>
                <w:szCs w:val="20"/>
              </w:rPr>
            </w:pPr>
            <w:r w:rsidRPr="00DD3825">
              <w:rPr>
                <w:rFonts w:ascii="Calibri" w:hAnsi="Calibri" w:cs="Arial"/>
                <w:szCs w:val="22"/>
              </w:rPr>
              <w:t>v96</w:t>
            </w:r>
          </w:p>
        </w:tc>
        <w:tc>
          <w:tcPr>
            <w:tcW w:w="1416" w:type="dxa"/>
            <w:noWrap/>
            <w:hideMark/>
          </w:tcPr>
          <w:p w:rsidR="007E0CC0" w:rsidRPr="00DD3825" w:rsidRDefault="007E0CC0" w:rsidP="006871A4">
            <w:pPr>
              <w:jc w:val="right"/>
              <w:rPr>
                <w:rFonts w:cs="Arial"/>
                <w:sz w:val="20"/>
                <w:szCs w:val="20"/>
              </w:rPr>
            </w:pPr>
            <w:r w:rsidRPr="00DD3825">
              <w:rPr>
                <w:rFonts w:ascii="Calibri" w:hAnsi="Calibri" w:cs="Arial"/>
                <w:szCs w:val="22"/>
              </w:rPr>
              <w:t>1.142333</w:t>
            </w:r>
          </w:p>
        </w:tc>
        <w:tc>
          <w:tcPr>
            <w:tcW w:w="1416" w:type="dxa"/>
          </w:tcPr>
          <w:p w:rsidR="007E0CC0" w:rsidRPr="00DD3825" w:rsidRDefault="007E0CC0" w:rsidP="005C7E44">
            <w:pPr>
              <w:jc w:val="right"/>
              <w:rPr>
                <w:rFonts w:cs="Arial"/>
                <w:sz w:val="20"/>
                <w:szCs w:val="20"/>
              </w:rPr>
            </w:pPr>
            <w:r w:rsidRPr="00DD3825">
              <w:rPr>
                <w:rFonts w:ascii="Calibri" w:hAnsi="Calibri" w:cs="Arial"/>
                <w:szCs w:val="22"/>
              </w:rPr>
              <w:t>101.457</w:t>
            </w:r>
          </w:p>
        </w:tc>
        <w:tc>
          <w:tcPr>
            <w:tcW w:w="1416" w:type="dxa"/>
          </w:tcPr>
          <w:p w:rsidR="007E0CC0" w:rsidRPr="00DD3825" w:rsidRDefault="007E0CC0" w:rsidP="005C7E44">
            <w:pPr>
              <w:jc w:val="right"/>
              <w:rPr>
                <w:rFonts w:ascii="Calibri" w:hAnsi="Calibri" w:cs="Arial"/>
                <w:szCs w:val="22"/>
              </w:rPr>
            </w:pPr>
            <w:r w:rsidRPr="00DD3825">
              <w:rPr>
                <w:rFonts w:cs="Arial"/>
                <w:sz w:val="20"/>
                <w:szCs w:val="20"/>
              </w:rPr>
              <w:t>0.113065</w:t>
            </w:r>
          </w:p>
        </w:tc>
        <w:tc>
          <w:tcPr>
            <w:tcW w:w="1416" w:type="dxa"/>
          </w:tcPr>
          <w:p w:rsidR="007E0CC0" w:rsidRPr="00DD3825" w:rsidRDefault="007E0CC0" w:rsidP="005C7E44">
            <w:pPr>
              <w:jc w:val="right"/>
              <w:rPr>
                <w:rFonts w:ascii="Calibri" w:hAnsi="Calibri" w:cs="Arial"/>
                <w:szCs w:val="22"/>
              </w:rPr>
            </w:pPr>
            <w:r w:rsidRPr="00DD3825">
              <w:rPr>
                <w:rFonts w:cs="Arial"/>
                <w:sz w:val="20"/>
                <w:szCs w:val="20"/>
              </w:rPr>
              <w:t>46.305</w:t>
            </w:r>
          </w:p>
        </w:tc>
      </w:tr>
      <w:tr w:rsidR="007E0CC0" w:rsidRPr="00DD3825" w:rsidTr="00A13830">
        <w:trPr>
          <w:cnfStyle w:val="000000010000" w:firstRow="0" w:lastRow="0" w:firstColumn="0" w:lastColumn="0" w:oddVBand="0" w:evenVBand="0" w:oddHBand="0" w:evenHBand="1" w:firstRowFirstColumn="0" w:firstRowLastColumn="0" w:lastRowFirstColumn="0" w:lastRowLastColumn="0"/>
          <w:trHeight w:val="285"/>
          <w:jc w:val="center"/>
        </w:trPr>
        <w:tc>
          <w:tcPr>
            <w:tcW w:w="1528" w:type="dxa"/>
            <w:noWrap/>
            <w:hideMark/>
          </w:tcPr>
          <w:p w:rsidR="007E0CC0" w:rsidRPr="00DD3825" w:rsidRDefault="007E0CC0" w:rsidP="006871A4">
            <w:pPr>
              <w:rPr>
                <w:rFonts w:cs="Arial"/>
                <w:sz w:val="20"/>
                <w:szCs w:val="20"/>
              </w:rPr>
            </w:pPr>
            <w:r w:rsidRPr="00DD3825">
              <w:rPr>
                <w:rFonts w:ascii="Calibri" w:hAnsi="Calibri" w:cs="Arial"/>
                <w:szCs w:val="22"/>
              </w:rPr>
              <w:t>PGEAsmCZ11</w:t>
            </w:r>
          </w:p>
        </w:tc>
        <w:tc>
          <w:tcPr>
            <w:tcW w:w="1676" w:type="dxa"/>
            <w:noWrap/>
            <w:hideMark/>
          </w:tcPr>
          <w:p w:rsidR="007E0CC0" w:rsidRPr="00DD3825" w:rsidRDefault="007E0CC0" w:rsidP="006871A4">
            <w:pPr>
              <w:jc w:val="right"/>
              <w:rPr>
                <w:rFonts w:cs="Arial"/>
                <w:sz w:val="20"/>
                <w:szCs w:val="20"/>
              </w:rPr>
            </w:pPr>
            <w:r w:rsidRPr="00DD3825">
              <w:rPr>
                <w:rFonts w:ascii="Calibri" w:hAnsi="Calibri" w:cs="Arial"/>
                <w:szCs w:val="22"/>
              </w:rPr>
              <w:t>v03</w:t>
            </w:r>
          </w:p>
        </w:tc>
        <w:tc>
          <w:tcPr>
            <w:tcW w:w="1416" w:type="dxa"/>
            <w:noWrap/>
            <w:hideMark/>
          </w:tcPr>
          <w:p w:rsidR="007E0CC0" w:rsidRPr="00DD3825" w:rsidRDefault="007E0CC0" w:rsidP="006871A4">
            <w:pPr>
              <w:jc w:val="right"/>
              <w:rPr>
                <w:rFonts w:cs="Arial"/>
                <w:sz w:val="20"/>
                <w:szCs w:val="20"/>
              </w:rPr>
            </w:pPr>
            <w:r w:rsidRPr="00DD3825">
              <w:rPr>
                <w:rFonts w:ascii="Calibri" w:hAnsi="Calibri" w:cs="Arial"/>
                <w:szCs w:val="22"/>
              </w:rPr>
              <w:t>0.5821</w:t>
            </w:r>
          </w:p>
        </w:tc>
        <w:tc>
          <w:tcPr>
            <w:tcW w:w="1416" w:type="dxa"/>
          </w:tcPr>
          <w:p w:rsidR="007E0CC0" w:rsidRPr="00DD3825" w:rsidRDefault="007E0CC0" w:rsidP="005C7E44">
            <w:pPr>
              <w:jc w:val="right"/>
              <w:rPr>
                <w:rFonts w:cs="Arial"/>
                <w:sz w:val="20"/>
                <w:szCs w:val="20"/>
              </w:rPr>
            </w:pPr>
            <w:r w:rsidRPr="00DD3825">
              <w:rPr>
                <w:rFonts w:ascii="Calibri" w:hAnsi="Calibri" w:cs="Arial"/>
                <w:szCs w:val="22"/>
              </w:rPr>
              <w:t>92.062</w:t>
            </w:r>
          </w:p>
        </w:tc>
        <w:tc>
          <w:tcPr>
            <w:tcW w:w="1416" w:type="dxa"/>
          </w:tcPr>
          <w:p w:rsidR="007E0CC0" w:rsidRPr="00DD3825" w:rsidRDefault="007E0CC0" w:rsidP="005C7E44">
            <w:pPr>
              <w:jc w:val="right"/>
              <w:rPr>
                <w:rFonts w:ascii="Calibri" w:hAnsi="Calibri" w:cs="Arial"/>
                <w:szCs w:val="22"/>
              </w:rPr>
            </w:pPr>
            <w:r w:rsidRPr="00DD3825">
              <w:rPr>
                <w:rFonts w:cs="Arial"/>
                <w:sz w:val="20"/>
                <w:szCs w:val="20"/>
              </w:rPr>
              <w:t>0.103053</w:t>
            </w:r>
          </w:p>
        </w:tc>
        <w:tc>
          <w:tcPr>
            <w:tcW w:w="1416" w:type="dxa"/>
          </w:tcPr>
          <w:p w:rsidR="007E0CC0" w:rsidRPr="00DD3825" w:rsidRDefault="007E0CC0" w:rsidP="005C7E44">
            <w:pPr>
              <w:jc w:val="right"/>
              <w:rPr>
                <w:rFonts w:ascii="Calibri" w:hAnsi="Calibri" w:cs="Arial"/>
                <w:szCs w:val="22"/>
              </w:rPr>
            </w:pPr>
            <w:r w:rsidRPr="00DD3825">
              <w:rPr>
                <w:rFonts w:cs="Arial"/>
                <w:sz w:val="20"/>
                <w:szCs w:val="20"/>
              </w:rPr>
              <w:t>47.454</w:t>
            </w:r>
          </w:p>
        </w:tc>
      </w:tr>
      <w:tr w:rsidR="007E0CC0" w:rsidRPr="00DD3825" w:rsidTr="00A13830">
        <w:trPr>
          <w:cnfStyle w:val="000000100000" w:firstRow="0" w:lastRow="0" w:firstColumn="0" w:lastColumn="0" w:oddVBand="0" w:evenVBand="0" w:oddHBand="1" w:evenHBand="0" w:firstRowFirstColumn="0" w:firstRowLastColumn="0" w:lastRowFirstColumn="0" w:lastRowLastColumn="0"/>
          <w:trHeight w:val="285"/>
          <w:jc w:val="center"/>
        </w:trPr>
        <w:tc>
          <w:tcPr>
            <w:tcW w:w="1528" w:type="dxa"/>
            <w:noWrap/>
            <w:hideMark/>
          </w:tcPr>
          <w:p w:rsidR="007E0CC0" w:rsidRPr="00DD3825" w:rsidRDefault="007E0CC0" w:rsidP="006871A4">
            <w:pPr>
              <w:rPr>
                <w:rFonts w:cs="Arial"/>
                <w:sz w:val="20"/>
                <w:szCs w:val="20"/>
              </w:rPr>
            </w:pPr>
            <w:r w:rsidRPr="00DD3825">
              <w:rPr>
                <w:rFonts w:ascii="Calibri" w:hAnsi="Calibri" w:cs="Arial"/>
                <w:szCs w:val="22"/>
              </w:rPr>
              <w:t>PGEAsmCZ11</w:t>
            </w:r>
          </w:p>
        </w:tc>
        <w:tc>
          <w:tcPr>
            <w:tcW w:w="1676" w:type="dxa"/>
            <w:noWrap/>
            <w:hideMark/>
          </w:tcPr>
          <w:p w:rsidR="007E0CC0" w:rsidRPr="00DD3825" w:rsidRDefault="007E0CC0" w:rsidP="006871A4">
            <w:pPr>
              <w:jc w:val="right"/>
              <w:rPr>
                <w:rFonts w:cs="Arial"/>
                <w:sz w:val="20"/>
                <w:szCs w:val="20"/>
              </w:rPr>
            </w:pPr>
            <w:r w:rsidRPr="00DD3825">
              <w:rPr>
                <w:rFonts w:ascii="Calibri" w:hAnsi="Calibri" w:cs="Arial"/>
                <w:szCs w:val="22"/>
              </w:rPr>
              <w:t>v07</w:t>
            </w:r>
          </w:p>
        </w:tc>
        <w:tc>
          <w:tcPr>
            <w:tcW w:w="1416" w:type="dxa"/>
            <w:noWrap/>
            <w:hideMark/>
          </w:tcPr>
          <w:p w:rsidR="007E0CC0" w:rsidRPr="00DD3825" w:rsidRDefault="007E0CC0" w:rsidP="006871A4">
            <w:pPr>
              <w:jc w:val="right"/>
              <w:rPr>
                <w:rFonts w:cs="Arial"/>
                <w:sz w:val="20"/>
                <w:szCs w:val="20"/>
              </w:rPr>
            </w:pPr>
            <w:r w:rsidRPr="00DD3825">
              <w:rPr>
                <w:rFonts w:ascii="Calibri" w:hAnsi="Calibri" w:cs="Arial"/>
                <w:szCs w:val="22"/>
              </w:rPr>
              <w:t>0.324233</w:t>
            </w:r>
          </w:p>
        </w:tc>
        <w:tc>
          <w:tcPr>
            <w:tcW w:w="1416" w:type="dxa"/>
          </w:tcPr>
          <w:p w:rsidR="007E0CC0" w:rsidRPr="00DD3825" w:rsidRDefault="007E0CC0" w:rsidP="005C7E44">
            <w:pPr>
              <w:jc w:val="right"/>
              <w:rPr>
                <w:rFonts w:cs="Arial"/>
                <w:sz w:val="20"/>
                <w:szCs w:val="20"/>
              </w:rPr>
            </w:pPr>
            <w:r w:rsidRPr="00DD3825">
              <w:rPr>
                <w:rFonts w:ascii="Calibri" w:hAnsi="Calibri" w:cs="Arial"/>
                <w:szCs w:val="22"/>
              </w:rPr>
              <w:t>92.155</w:t>
            </w:r>
          </w:p>
        </w:tc>
        <w:tc>
          <w:tcPr>
            <w:tcW w:w="1416" w:type="dxa"/>
          </w:tcPr>
          <w:p w:rsidR="007E0CC0" w:rsidRPr="00DD3825" w:rsidRDefault="007E0CC0" w:rsidP="005C7E44">
            <w:pPr>
              <w:jc w:val="right"/>
              <w:rPr>
                <w:rFonts w:ascii="Calibri" w:hAnsi="Calibri" w:cs="Arial"/>
                <w:szCs w:val="22"/>
              </w:rPr>
            </w:pPr>
            <w:r w:rsidRPr="00DD3825">
              <w:rPr>
                <w:rFonts w:cs="Arial"/>
                <w:sz w:val="20"/>
                <w:szCs w:val="20"/>
              </w:rPr>
              <w:t>0.103242</w:t>
            </w:r>
          </w:p>
        </w:tc>
        <w:tc>
          <w:tcPr>
            <w:tcW w:w="1416" w:type="dxa"/>
          </w:tcPr>
          <w:p w:rsidR="007E0CC0" w:rsidRPr="00DD3825" w:rsidRDefault="007E0CC0" w:rsidP="005C7E44">
            <w:pPr>
              <w:jc w:val="right"/>
              <w:rPr>
                <w:rFonts w:ascii="Calibri" w:hAnsi="Calibri" w:cs="Arial"/>
                <w:szCs w:val="22"/>
              </w:rPr>
            </w:pPr>
            <w:r w:rsidRPr="00DD3825">
              <w:rPr>
                <w:rFonts w:cs="Arial"/>
                <w:sz w:val="20"/>
                <w:szCs w:val="20"/>
              </w:rPr>
              <w:t>47.550</w:t>
            </w:r>
          </w:p>
        </w:tc>
      </w:tr>
      <w:tr w:rsidR="007E0CC0" w:rsidRPr="00DD3825" w:rsidTr="00A13830">
        <w:trPr>
          <w:cnfStyle w:val="000000010000" w:firstRow="0" w:lastRow="0" w:firstColumn="0" w:lastColumn="0" w:oddVBand="0" w:evenVBand="0" w:oddHBand="0" w:evenHBand="1" w:firstRowFirstColumn="0" w:firstRowLastColumn="0" w:lastRowFirstColumn="0" w:lastRowLastColumn="0"/>
          <w:trHeight w:val="285"/>
          <w:jc w:val="center"/>
        </w:trPr>
        <w:tc>
          <w:tcPr>
            <w:tcW w:w="1528" w:type="dxa"/>
            <w:noWrap/>
            <w:hideMark/>
          </w:tcPr>
          <w:p w:rsidR="007E0CC0" w:rsidRPr="00DD3825" w:rsidRDefault="007E0CC0" w:rsidP="006871A4">
            <w:pPr>
              <w:rPr>
                <w:rFonts w:cs="Arial"/>
                <w:sz w:val="20"/>
                <w:szCs w:val="20"/>
              </w:rPr>
            </w:pPr>
            <w:r w:rsidRPr="00DD3825">
              <w:rPr>
                <w:rFonts w:ascii="Calibri" w:hAnsi="Calibri" w:cs="Arial"/>
                <w:szCs w:val="22"/>
              </w:rPr>
              <w:t>PGEAsmCZ11</w:t>
            </w:r>
          </w:p>
        </w:tc>
        <w:tc>
          <w:tcPr>
            <w:tcW w:w="1676" w:type="dxa"/>
            <w:noWrap/>
            <w:hideMark/>
          </w:tcPr>
          <w:p w:rsidR="007E0CC0" w:rsidRPr="00DD3825" w:rsidRDefault="007E0CC0" w:rsidP="006871A4">
            <w:pPr>
              <w:jc w:val="right"/>
              <w:rPr>
                <w:rFonts w:cs="Arial"/>
                <w:sz w:val="20"/>
                <w:szCs w:val="20"/>
              </w:rPr>
            </w:pPr>
            <w:r w:rsidRPr="00DD3825">
              <w:rPr>
                <w:rFonts w:ascii="Calibri" w:hAnsi="Calibri" w:cs="Arial"/>
                <w:szCs w:val="22"/>
              </w:rPr>
              <w:t>v11</w:t>
            </w:r>
          </w:p>
        </w:tc>
        <w:tc>
          <w:tcPr>
            <w:tcW w:w="1416" w:type="dxa"/>
            <w:noWrap/>
            <w:hideMark/>
          </w:tcPr>
          <w:p w:rsidR="007E0CC0" w:rsidRPr="00DD3825" w:rsidRDefault="007E0CC0" w:rsidP="006871A4">
            <w:pPr>
              <w:jc w:val="right"/>
              <w:rPr>
                <w:rFonts w:cs="Arial"/>
                <w:sz w:val="20"/>
                <w:szCs w:val="20"/>
              </w:rPr>
            </w:pPr>
            <w:r w:rsidRPr="00DD3825">
              <w:rPr>
                <w:rFonts w:ascii="Calibri" w:hAnsi="Calibri" w:cs="Arial"/>
                <w:szCs w:val="22"/>
              </w:rPr>
              <w:t>0.324233</w:t>
            </w:r>
          </w:p>
        </w:tc>
        <w:tc>
          <w:tcPr>
            <w:tcW w:w="1416" w:type="dxa"/>
          </w:tcPr>
          <w:p w:rsidR="007E0CC0" w:rsidRPr="00DD3825" w:rsidRDefault="007E0CC0" w:rsidP="005C7E44">
            <w:pPr>
              <w:jc w:val="right"/>
              <w:rPr>
                <w:rFonts w:cs="Arial"/>
                <w:sz w:val="20"/>
                <w:szCs w:val="20"/>
              </w:rPr>
            </w:pPr>
            <w:r w:rsidRPr="00DD3825">
              <w:rPr>
                <w:rFonts w:ascii="Calibri" w:hAnsi="Calibri" w:cs="Arial"/>
                <w:szCs w:val="22"/>
              </w:rPr>
              <w:t>96.003</w:t>
            </w:r>
          </w:p>
        </w:tc>
        <w:tc>
          <w:tcPr>
            <w:tcW w:w="1416" w:type="dxa"/>
          </w:tcPr>
          <w:p w:rsidR="007E0CC0" w:rsidRPr="00DD3825" w:rsidRDefault="007E0CC0" w:rsidP="005C7E44">
            <w:pPr>
              <w:jc w:val="right"/>
              <w:rPr>
                <w:rFonts w:ascii="Calibri" w:hAnsi="Calibri" w:cs="Arial"/>
                <w:szCs w:val="22"/>
              </w:rPr>
            </w:pPr>
            <w:r w:rsidRPr="00DD3825">
              <w:rPr>
                <w:rFonts w:cs="Arial"/>
                <w:sz w:val="20"/>
                <w:szCs w:val="20"/>
              </w:rPr>
              <w:t>0.105622</w:t>
            </w:r>
          </w:p>
        </w:tc>
        <w:tc>
          <w:tcPr>
            <w:tcW w:w="1416" w:type="dxa"/>
          </w:tcPr>
          <w:p w:rsidR="007E0CC0" w:rsidRPr="00DD3825" w:rsidRDefault="007E0CC0" w:rsidP="005C7E44">
            <w:pPr>
              <w:jc w:val="right"/>
              <w:rPr>
                <w:rFonts w:ascii="Calibri" w:hAnsi="Calibri" w:cs="Arial"/>
                <w:szCs w:val="22"/>
              </w:rPr>
            </w:pPr>
            <w:r w:rsidRPr="00DD3825">
              <w:rPr>
                <w:rFonts w:cs="Arial"/>
                <w:sz w:val="20"/>
                <w:szCs w:val="20"/>
              </w:rPr>
              <w:t>52.554</w:t>
            </w:r>
          </w:p>
        </w:tc>
      </w:tr>
      <w:tr w:rsidR="00AC1DF2" w:rsidRPr="00DD3825" w:rsidTr="00A13830">
        <w:trPr>
          <w:cnfStyle w:val="000000100000" w:firstRow="0" w:lastRow="0" w:firstColumn="0" w:lastColumn="0" w:oddVBand="0" w:evenVBand="0" w:oddHBand="1" w:evenHBand="0" w:firstRowFirstColumn="0" w:firstRowLastColumn="0" w:lastRowFirstColumn="0" w:lastRowLastColumn="0"/>
          <w:trHeight w:val="285"/>
          <w:jc w:val="center"/>
        </w:trPr>
        <w:tc>
          <w:tcPr>
            <w:tcW w:w="1528" w:type="dxa"/>
            <w:noWrap/>
            <w:vAlign w:val="center"/>
          </w:tcPr>
          <w:p w:rsidR="00AC1DF2" w:rsidRPr="00DD3825" w:rsidRDefault="00AC1DF2" w:rsidP="00A13830">
            <w:pPr>
              <w:jc w:val="left"/>
              <w:rPr>
                <w:rFonts w:cs="Arial"/>
                <w:b/>
                <w:sz w:val="20"/>
                <w:szCs w:val="20"/>
              </w:rPr>
            </w:pPr>
            <w:r w:rsidRPr="00DD3825">
              <w:rPr>
                <w:rFonts w:cs="Arial"/>
                <w:b/>
                <w:sz w:val="20"/>
                <w:szCs w:val="20"/>
              </w:rPr>
              <w:t>Final Weighted Savings</w:t>
            </w:r>
          </w:p>
        </w:tc>
        <w:tc>
          <w:tcPr>
            <w:tcW w:w="1676" w:type="dxa"/>
            <w:noWrap/>
            <w:vAlign w:val="center"/>
          </w:tcPr>
          <w:p w:rsidR="00AC1DF2" w:rsidRPr="00DD3825" w:rsidRDefault="00AC1DF2" w:rsidP="007E0CC0">
            <w:pPr>
              <w:jc w:val="right"/>
              <w:rPr>
                <w:rFonts w:cs="Arial"/>
                <w:b/>
                <w:sz w:val="20"/>
                <w:szCs w:val="20"/>
              </w:rPr>
            </w:pPr>
            <w:r w:rsidRPr="00DD3825">
              <w:rPr>
                <w:rFonts w:cs="Arial"/>
                <w:b/>
                <w:sz w:val="20"/>
                <w:szCs w:val="20"/>
              </w:rPr>
              <w:t>Existing</w:t>
            </w:r>
          </w:p>
        </w:tc>
        <w:tc>
          <w:tcPr>
            <w:tcW w:w="1416" w:type="dxa"/>
            <w:noWrap/>
            <w:vAlign w:val="center"/>
          </w:tcPr>
          <w:p w:rsidR="00AC1DF2" w:rsidRPr="00DD3825" w:rsidRDefault="00AC1DF2" w:rsidP="007E0CC0">
            <w:pPr>
              <w:jc w:val="right"/>
              <w:rPr>
                <w:rFonts w:cs="Arial"/>
                <w:b/>
                <w:sz w:val="20"/>
                <w:szCs w:val="20"/>
              </w:rPr>
            </w:pPr>
          </w:p>
        </w:tc>
        <w:tc>
          <w:tcPr>
            <w:tcW w:w="1416" w:type="dxa"/>
            <w:vAlign w:val="center"/>
          </w:tcPr>
          <w:p w:rsidR="00AC1DF2" w:rsidRPr="00DD3825" w:rsidRDefault="00AC1DF2" w:rsidP="00AC1DF2">
            <w:pPr>
              <w:jc w:val="right"/>
              <w:rPr>
                <w:rFonts w:cs="Arial"/>
                <w:b/>
                <w:sz w:val="20"/>
                <w:szCs w:val="20"/>
              </w:rPr>
            </w:pPr>
            <w:r w:rsidRPr="00DD3825">
              <w:rPr>
                <w:rFonts w:ascii="Calibri" w:hAnsi="Calibri"/>
                <w:b/>
                <w:szCs w:val="22"/>
              </w:rPr>
              <w:t>101.18</w:t>
            </w:r>
          </w:p>
        </w:tc>
        <w:tc>
          <w:tcPr>
            <w:tcW w:w="1416" w:type="dxa"/>
            <w:vAlign w:val="center"/>
          </w:tcPr>
          <w:p w:rsidR="00AC1DF2" w:rsidRPr="00DD3825" w:rsidRDefault="00AC1DF2" w:rsidP="00AC1DF2">
            <w:pPr>
              <w:jc w:val="right"/>
              <w:rPr>
                <w:rFonts w:ascii="Calibri" w:hAnsi="Calibri"/>
                <w:b/>
                <w:szCs w:val="22"/>
              </w:rPr>
            </w:pPr>
            <w:r w:rsidRPr="00DD3825">
              <w:rPr>
                <w:rFonts w:ascii="Calibri" w:hAnsi="Calibri"/>
                <w:b/>
                <w:szCs w:val="22"/>
              </w:rPr>
              <w:t>0.11648</w:t>
            </w:r>
          </w:p>
        </w:tc>
        <w:tc>
          <w:tcPr>
            <w:tcW w:w="1416" w:type="dxa"/>
            <w:vAlign w:val="center"/>
          </w:tcPr>
          <w:p w:rsidR="00AC1DF2" w:rsidRPr="00DD3825" w:rsidRDefault="00AC1DF2" w:rsidP="00AC1DF2">
            <w:pPr>
              <w:jc w:val="right"/>
              <w:rPr>
                <w:rFonts w:ascii="Calibri" w:hAnsi="Calibri"/>
                <w:b/>
                <w:szCs w:val="22"/>
              </w:rPr>
            </w:pPr>
            <w:r w:rsidRPr="00DD3825">
              <w:rPr>
                <w:rFonts w:ascii="Calibri" w:hAnsi="Calibri"/>
                <w:b/>
                <w:szCs w:val="22"/>
              </w:rPr>
              <w:t>42.913</w:t>
            </w:r>
          </w:p>
        </w:tc>
      </w:tr>
    </w:tbl>
    <w:p w:rsidR="00AF1423" w:rsidRPr="00DD3825" w:rsidRDefault="00AF1423" w:rsidP="00A13830">
      <w:bookmarkStart w:id="135" w:name="_Toc304800214"/>
      <w:bookmarkStart w:id="136" w:name="_Toc324318368"/>
      <w:bookmarkStart w:id="137" w:name="_Toc324340497"/>
    </w:p>
    <w:p w:rsidR="00B7164C" w:rsidRPr="00DD3825" w:rsidRDefault="00C069A2" w:rsidP="00D20486">
      <w:pPr>
        <w:pStyle w:val="Heading1"/>
        <w:rPr>
          <w:i/>
          <w:sz w:val="28"/>
          <w:szCs w:val="28"/>
        </w:rPr>
      </w:pPr>
      <w:bookmarkStart w:id="138" w:name="_Toc386811731"/>
      <w:r w:rsidRPr="00DD3825">
        <w:rPr>
          <w:i/>
          <w:sz w:val="28"/>
          <w:szCs w:val="28"/>
        </w:rPr>
        <w:t>Section 3</w:t>
      </w:r>
      <w:r w:rsidR="003129E8" w:rsidRPr="00DD3825">
        <w:rPr>
          <w:i/>
          <w:sz w:val="28"/>
          <w:szCs w:val="28"/>
        </w:rPr>
        <w:t>.</w:t>
      </w:r>
      <w:r w:rsidRPr="00DD3825">
        <w:rPr>
          <w:i/>
          <w:sz w:val="28"/>
          <w:szCs w:val="28"/>
        </w:rPr>
        <w:t xml:space="preserve"> Load Shapes</w:t>
      </w:r>
      <w:bookmarkEnd w:id="135"/>
      <w:bookmarkEnd w:id="136"/>
      <w:bookmarkEnd w:id="137"/>
      <w:bookmarkEnd w:id="138"/>
      <w:r w:rsidR="00844B27" w:rsidRPr="00DD3825">
        <w:rPr>
          <w:i/>
          <w:sz w:val="28"/>
          <w:szCs w:val="28"/>
        </w:rPr>
        <w:t xml:space="preserve"> </w:t>
      </w:r>
    </w:p>
    <w:p w:rsidR="00B7164C" w:rsidRPr="00DD3825" w:rsidRDefault="00BF0332" w:rsidP="0087599D">
      <w:pPr>
        <w:pStyle w:val="Heading2"/>
      </w:pPr>
      <w:bookmarkStart w:id="139" w:name="_Toc173742996"/>
      <w:bookmarkStart w:id="140" w:name="_Toc304800215"/>
      <w:bookmarkStart w:id="141" w:name="_Toc324318369"/>
      <w:bookmarkStart w:id="142" w:name="_Toc324340498"/>
      <w:bookmarkStart w:id="143" w:name="_Toc386811732"/>
      <w:r w:rsidRPr="00DD3825">
        <w:t>3.1 Base Case</w:t>
      </w:r>
      <w:r w:rsidR="00B7164C" w:rsidRPr="00DD3825">
        <w:t xml:space="preserve"> Load Shapes</w:t>
      </w:r>
      <w:bookmarkEnd w:id="139"/>
      <w:bookmarkEnd w:id="140"/>
      <w:bookmarkEnd w:id="141"/>
      <w:bookmarkEnd w:id="142"/>
      <w:bookmarkEnd w:id="143"/>
    </w:p>
    <w:p w:rsidR="00D80526" w:rsidRPr="00DD3825" w:rsidRDefault="00D80526" w:rsidP="00D80526">
      <w:bookmarkStart w:id="144" w:name="_Toc173742997"/>
      <w:r w:rsidRPr="00DD3825">
        <w:t xml:space="preserve">The difference between the base case load shape and the measure load shape would be the most appropriate load shape; however, only end-use profiles for some sectors are available.  Therefore, the closest load shape chosen for this measure is the DEER:HVAC_Eff_AC load shape as shown in Table 8. </w:t>
      </w:r>
    </w:p>
    <w:p w:rsidR="00D80526" w:rsidRPr="00DD3825" w:rsidRDefault="00D80526" w:rsidP="00D80526">
      <w:pPr>
        <w:rPr>
          <w:rFonts w:cs="Arial"/>
          <w:sz w:val="20"/>
          <w:szCs w:val="20"/>
        </w:rPr>
      </w:pPr>
    </w:p>
    <w:p w:rsidR="00D80526" w:rsidRPr="00DD3825" w:rsidRDefault="00D80526" w:rsidP="00D80526">
      <w:pPr>
        <w:pStyle w:val="Caption"/>
      </w:pPr>
      <w:bookmarkStart w:id="145" w:name="_Toc327883665"/>
      <w:bookmarkStart w:id="146" w:name="_Toc386811758"/>
      <w:r w:rsidRPr="00DD3825">
        <w:t>T</w:t>
      </w:r>
      <w:r w:rsidRPr="00DD3825">
        <w:rPr>
          <w:rFonts w:eastAsia="Calibri"/>
        </w:rPr>
        <w:t xml:space="preserve">able </w:t>
      </w:r>
      <w:r w:rsidRPr="00DD3825">
        <w:rPr>
          <w:rFonts w:eastAsia="Calibri"/>
        </w:rPr>
        <w:fldChar w:fldCharType="begin"/>
      </w:r>
      <w:r w:rsidRPr="00DD3825">
        <w:rPr>
          <w:rFonts w:eastAsia="Calibri"/>
        </w:rPr>
        <w:instrText xml:space="preserve"> SEQ Table \* ARABIC </w:instrText>
      </w:r>
      <w:r w:rsidRPr="00DD3825">
        <w:rPr>
          <w:rFonts w:eastAsia="Calibri"/>
        </w:rPr>
        <w:fldChar w:fldCharType="separate"/>
      </w:r>
      <w:r w:rsidR="00B424F3">
        <w:rPr>
          <w:rFonts w:eastAsia="Calibri"/>
          <w:noProof/>
        </w:rPr>
        <w:t>18</w:t>
      </w:r>
      <w:r w:rsidRPr="00DD3825">
        <w:rPr>
          <w:rFonts w:eastAsia="Calibri"/>
        </w:rPr>
        <w:fldChar w:fldCharType="end"/>
      </w:r>
      <w:r w:rsidRPr="00DD3825">
        <w:rPr>
          <w:rFonts w:eastAsia="Calibri"/>
        </w:rPr>
        <w:t xml:space="preserve"> Building Types and Load Shapes</w:t>
      </w:r>
      <w:bookmarkEnd w:id="145"/>
      <w:bookmarkEnd w:id="146"/>
    </w:p>
    <w:tbl>
      <w:tblPr>
        <w:tblpPr w:leftFromText="187" w:rightFromText="187" w:vertAnchor="text" w:horzAnchor="margin" w:tblpXSpec="center" w:tblpY="1"/>
        <w:tblW w:w="4660" w:type="pct"/>
        <w:tblBorders>
          <w:insideH w:val="single" w:sz="18" w:space="0" w:color="FFFFFF"/>
          <w:insideV w:val="single" w:sz="18" w:space="0" w:color="FFFFFF"/>
        </w:tblBorders>
        <w:tblLook w:val="01E0" w:firstRow="1" w:lastRow="1" w:firstColumn="1" w:lastColumn="1" w:noHBand="0" w:noVBand="0"/>
      </w:tblPr>
      <w:tblGrid>
        <w:gridCol w:w="3874"/>
        <w:gridCol w:w="2531"/>
        <w:gridCol w:w="2520"/>
      </w:tblGrid>
      <w:tr w:rsidR="00D80526" w:rsidRPr="00DD3825" w:rsidTr="001F40FA">
        <w:tc>
          <w:tcPr>
            <w:tcW w:w="2170" w:type="pct"/>
            <w:shd w:val="pct20" w:color="000000" w:fill="FFFFFF"/>
          </w:tcPr>
          <w:p w:rsidR="00D80526" w:rsidRPr="00DD3825" w:rsidRDefault="00D80526" w:rsidP="001F40FA">
            <w:pPr>
              <w:widowControl w:val="0"/>
              <w:jc w:val="center"/>
              <w:rPr>
                <w:rFonts w:cs="Arial"/>
                <w:b/>
                <w:bCs/>
                <w:sz w:val="20"/>
                <w:szCs w:val="20"/>
              </w:rPr>
            </w:pPr>
            <w:r w:rsidRPr="00DD3825">
              <w:rPr>
                <w:rFonts w:cs="Arial"/>
                <w:b/>
                <w:bCs/>
                <w:sz w:val="20"/>
                <w:szCs w:val="20"/>
              </w:rPr>
              <w:t>Building Type</w:t>
            </w:r>
          </w:p>
        </w:tc>
        <w:tc>
          <w:tcPr>
            <w:tcW w:w="1418" w:type="pct"/>
            <w:shd w:val="pct20" w:color="000000" w:fill="FFFFFF"/>
          </w:tcPr>
          <w:p w:rsidR="00D80526" w:rsidRPr="00DD3825" w:rsidRDefault="00D80526" w:rsidP="001F40FA">
            <w:pPr>
              <w:widowControl w:val="0"/>
              <w:jc w:val="center"/>
              <w:rPr>
                <w:rFonts w:cs="Arial"/>
                <w:b/>
                <w:bCs/>
                <w:sz w:val="20"/>
                <w:szCs w:val="20"/>
              </w:rPr>
            </w:pPr>
            <w:r w:rsidRPr="00DD3825">
              <w:rPr>
                <w:rFonts w:cs="Arial"/>
                <w:b/>
                <w:bCs/>
                <w:sz w:val="20"/>
                <w:szCs w:val="20"/>
              </w:rPr>
              <w:t>E3 Alt. Building Type</w:t>
            </w:r>
          </w:p>
        </w:tc>
        <w:tc>
          <w:tcPr>
            <w:tcW w:w="1412" w:type="pct"/>
            <w:shd w:val="pct20" w:color="000000" w:fill="FFFFFF"/>
          </w:tcPr>
          <w:p w:rsidR="00D80526" w:rsidRPr="00DD3825" w:rsidRDefault="00D80526" w:rsidP="001F40FA">
            <w:pPr>
              <w:widowControl w:val="0"/>
              <w:jc w:val="center"/>
              <w:rPr>
                <w:rFonts w:cs="Arial"/>
                <w:b/>
                <w:bCs/>
                <w:sz w:val="20"/>
                <w:szCs w:val="20"/>
              </w:rPr>
            </w:pPr>
            <w:r w:rsidRPr="00DD3825">
              <w:rPr>
                <w:rFonts w:cs="Arial"/>
                <w:b/>
                <w:bCs/>
                <w:sz w:val="20"/>
                <w:szCs w:val="20"/>
              </w:rPr>
              <w:t>Load Shape</w:t>
            </w:r>
          </w:p>
        </w:tc>
      </w:tr>
      <w:tr w:rsidR="00D80526" w:rsidRPr="00DD3825" w:rsidTr="001F40FA">
        <w:tc>
          <w:tcPr>
            <w:tcW w:w="2170" w:type="pct"/>
            <w:shd w:val="pct5" w:color="000000" w:fill="FFFFFF"/>
            <w:vAlign w:val="bottom"/>
          </w:tcPr>
          <w:p w:rsidR="00D80526" w:rsidRPr="00DD3825" w:rsidRDefault="00D80526" w:rsidP="001F40FA">
            <w:pPr>
              <w:widowControl w:val="0"/>
              <w:rPr>
                <w:rFonts w:cs="Arial"/>
                <w:sz w:val="20"/>
                <w:szCs w:val="20"/>
              </w:rPr>
            </w:pPr>
            <w:r w:rsidRPr="00DD3825">
              <w:rPr>
                <w:rFonts w:cs="Arial"/>
                <w:sz w:val="20"/>
                <w:szCs w:val="20"/>
              </w:rPr>
              <w:t>All</w:t>
            </w:r>
          </w:p>
        </w:tc>
        <w:tc>
          <w:tcPr>
            <w:tcW w:w="1418" w:type="pct"/>
            <w:shd w:val="pct5" w:color="000000" w:fill="FFFFFF"/>
          </w:tcPr>
          <w:p w:rsidR="00D80526" w:rsidRPr="00DD3825" w:rsidRDefault="00D80526" w:rsidP="001F40FA">
            <w:pPr>
              <w:widowControl w:val="0"/>
              <w:jc w:val="center"/>
              <w:rPr>
                <w:rFonts w:cs="Arial"/>
                <w:sz w:val="20"/>
                <w:szCs w:val="20"/>
              </w:rPr>
            </w:pPr>
            <w:r w:rsidRPr="00DD3825">
              <w:rPr>
                <w:rFonts w:cs="Arial"/>
                <w:sz w:val="20"/>
                <w:szCs w:val="20"/>
              </w:rPr>
              <w:t>Non_Res</w:t>
            </w:r>
          </w:p>
        </w:tc>
        <w:tc>
          <w:tcPr>
            <w:tcW w:w="1412" w:type="pct"/>
            <w:shd w:val="pct5" w:color="000000" w:fill="FFFFFF"/>
          </w:tcPr>
          <w:p w:rsidR="00D80526" w:rsidRPr="00DD3825" w:rsidRDefault="00D80526" w:rsidP="001F40FA">
            <w:pPr>
              <w:widowControl w:val="0"/>
              <w:jc w:val="center"/>
              <w:rPr>
                <w:rFonts w:cs="Arial"/>
                <w:sz w:val="20"/>
                <w:szCs w:val="20"/>
              </w:rPr>
            </w:pPr>
            <w:r w:rsidRPr="00DD3825">
              <w:rPr>
                <w:rFonts w:cs="Arial"/>
                <w:sz w:val="20"/>
                <w:szCs w:val="20"/>
              </w:rPr>
              <w:t>DEER:HVAC_Eff_AC</w:t>
            </w:r>
          </w:p>
        </w:tc>
      </w:tr>
    </w:tbl>
    <w:p w:rsidR="008840FA" w:rsidRPr="00DD3825" w:rsidRDefault="008840FA" w:rsidP="00B7164C">
      <w:pPr>
        <w:rPr>
          <w:rFonts w:cs="Arial"/>
          <w:sz w:val="20"/>
          <w:szCs w:val="20"/>
        </w:rPr>
      </w:pPr>
    </w:p>
    <w:p w:rsidR="00B7164C" w:rsidRPr="00DD3825" w:rsidRDefault="00B7164C" w:rsidP="00D20486">
      <w:pPr>
        <w:pStyle w:val="Heading2"/>
        <w:keepNext w:val="0"/>
      </w:pPr>
      <w:bookmarkStart w:id="147" w:name="_Toc304800216"/>
      <w:bookmarkStart w:id="148" w:name="_Toc324318370"/>
      <w:bookmarkStart w:id="149" w:name="_Toc324340499"/>
      <w:bookmarkStart w:id="150" w:name="_Toc386811733"/>
      <w:r w:rsidRPr="00DD3825">
        <w:t>3.2 Measure Load Shapes</w:t>
      </w:r>
      <w:bookmarkEnd w:id="144"/>
      <w:bookmarkEnd w:id="147"/>
      <w:bookmarkEnd w:id="148"/>
      <w:bookmarkEnd w:id="149"/>
      <w:bookmarkEnd w:id="150"/>
    </w:p>
    <w:p w:rsidR="00F47D9D" w:rsidRPr="00DD3825" w:rsidRDefault="00B66898" w:rsidP="00D80526">
      <w:r w:rsidRPr="00DD3825">
        <w:t>There are no measure case load shapes applicable to this(ese) measure(s).</w:t>
      </w:r>
      <w:r w:rsidR="00437BE1" w:rsidRPr="00DD3825">
        <w:t xml:space="preserve"> </w:t>
      </w:r>
      <w:r w:rsidRPr="00DD3825">
        <w:t xml:space="preserve">The base case shapes are to be used in the cost avoidance calculation. </w:t>
      </w:r>
    </w:p>
    <w:p w:rsidR="00B7164C" w:rsidRPr="00DD3825" w:rsidRDefault="00B7164C" w:rsidP="003C6DFA">
      <w:pPr>
        <w:rPr>
          <w:rFonts w:cs="Arial"/>
          <w:sz w:val="20"/>
          <w:szCs w:val="20"/>
        </w:rPr>
      </w:pPr>
    </w:p>
    <w:p w:rsidR="0091058D" w:rsidRPr="00DD3825" w:rsidRDefault="00C069A2" w:rsidP="00663A00">
      <w:pPr>
        <w:pStyle w:val="Heading1"/>
        <w:keepNext w:val="0"/>
      </w:pPr>
      <w:bookmarkStart w:id="151" w:name="_Toc304800217"/>
      <w:bookmarkStart w:id="152" w:name="_Toc324318371"/>
      <w:bookmarkStart w:id="153" w:name="_Toc324340500"/>
      <w:bookmarkStart w:id="154" w:name="_Toc386811734"/>
      <w:r w:rsidRPr="00DD3825">
        <w:t>Section 4</w:t>
      </w:r>
      <w:r w:rsidR="003129E8" w:rsidRPr="00DD3825">
        <w:t>.</w:t>
      </w:r>
      <w:r w:rsidRPr="00DD3825">
        <w:t xml:space="preserve"> Base Case &amp; Measure Costs</w:t>
      </w:r>
      <w:bookmarkEnd w:id="151"/>
      <w:bookmarkEnd w:id="152"/>
      <w:bookmarkEnd w:id="153"/>
      <w:bookmarkEnd w:id="154"/>
    </w:p>
    <w:p w:rsidR="00B16BE4" w:rsidRPr="00DD3825" w:rsidRDefault="00B16BE4" w:rsidP="00B16BE4"/>
    <w:p w:rsidR="00B16BE4" w:rsidRPr="00DD3825" w:rsidRDefault="00B16BE4" w:rsidP="00B16BE4"/>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DD3825" w:rsidTr="0064609B">
        <w:trPr>
          <w:trHeight w:val="255"/>
        </w:trPr>
        <w:tc>
          <w:tcPr>
            <w:tcW w:w="1964" w:type="dxa"/>
            <w:shd w:val="clear" w:color="auto" w:fill="262626"/>
            <w:noWrap/>
            <w:vAlign w:val="bottom"/>
          </w:tcPr>
          <w:p w:rsidR="00B16BE4" w:rsidRPr="00DD3825" w:rsidRDefault="003541A6" w:rsidP="003541A6">
            <w:pPr>
              <w:jc w:val="center"/>
              <w:rPr>
                <w:rFonts w:cs="Arial"/>
                <w:b/>
              </w:rPr>
            </w:pPr>
            <w:bookmarkStart w:id="155" w:name="_Toc304800218"/>
            <w:r w:rsidRPr="00DD3825">
              <w:rPr>
                <w:rFonts w:cs="Arial"/>
                <w:b/>
              </w:rPr>
              <w:t>Measure Application</w:t>
            </w:r>
            <w:r w:rsidR="00B16BE4" w:rsidRPr="00DD3825">
              <w:rPr>
                <w:rFonts w:cs="Arial"/>
                <w:b/>
              </w:rPr>
              <w:t xml:space="preserve"> </w:t>
            </w:r>
            <w:r w:rsidR="00B16BE4" w:rsidRPr="00DD3825">
              <w:rPr>
                <w:rFonts w:cs="Arial"/>
                <w:b/>
              </w:rPr>
              <w:lastRenderedPageBreak/>
              <w:t>Type</w:t>
            </w:r>
          </w:p>
        </w:tc>
        <w:tc>
          <w:tcPr>
            <w:tcW w:w="1202" w:type="dxa"/>
            <w:shd w:val="clear" w:color="auto" w:fill="262626"/>
            <w:noWrap/>
            <w:vAlign w:val="bottom"/>
          </w:tcPr>
          <w:p w:rsidR="00B16BE4" w:rsidRPr="00DD3825" w:rsidRDefault="00B16BE4" w:rsidP="001E4C31">
            <w:pPr>
              <w:jc w:val="center"/>
              <w:rPr>
                <w:rFonts w:cs="Arial"/>
                <w:b/>
              </w:rPr>
            </w:pPr>
            <w:r w:rsidRPr="00DD3825">
              <w:rPr>
                <w:rFonts w:cs="Arial"/>
                <w:b/>
              </w:rPr>
              <w:lastRenderedPageBreak/>
              <w:t xml:space="preserve">Measure Life </w:t>
            </w:r>
            <w:r w:rsidRPr="00DD3825">
              <w:rPr>
                <w:rFonts w:cs="Arial"/>
                <w:b/>
              </w:rPr>
              <w:lastRenderedPageBreak/>
              <w:t>Basis</w:t>
            </w:r>
          </w:p>
        </w:tc>
        <w:tc>
          <w:tcPr>
            <w:tcW w:w="2699" w:type="dxa"/>
            <w:shd w:val="clear" w:color="auto" w:fill="262626"/>
            <w:vAlign w:val="bottom"/>
          </w:tcPr>
          <w:p w:rsidR="00B16BE4" w:rsidRPr="00DD3825" w:rsidRDefault="00B16BE4" w:rsidP="001E4C31">
            <w:pPr>
              <w:jc w:val="center"/>
              <w:rPr>
                <w:rFonts w:cs="Arial"/>
                <w:b/>
              </w:rPr>
            </w:pPr>
            <w:r w:rsidRPr="00DD3825">
              <w:rPr>
                <w:rFonts w:cs="Arial"/>
                <w:b/>
              </w:rPr>
              <w:lastRenderedPageBreak/>
              <w:t xml:space="preserve">First Baseline Period Gross Measure Cost </w:t>
            </w:r>
            <w:r w:rsidRPr="00DD3825">
              <w:rPr>
                <w:rFonts w:cs="Arial"/>
                <w:b/>
              </w:rPr>
              <w:lastRenderedPageBreak/>
              <w:t>(RUL)</w:t>
            </w:r>
          </w:p>
        </w:tc>
        <w:tc>
          <w:tcPr>
            <w:tcW w:w="2790" w:type="dxa"/>
            <w:shd w:val="clear" w:color="auto" w:fill="262626"/>
            <w:noWrap/>
            <w:vAlign w:val="bottom"/>
          </w:tcPr>
          <w:p w:rsidR="00B16BE4" w:rsidRPr="00DD3825" w:rsidRDefault="00B16BE4" w:rsidP="001E4C31">
            <w:pPr>
              <w:jc w:val="center"/>
              <w:rPr>
                <w:rFonts w:cs="Arial"/>
                <w:b/>
              </w:rPr>
            </w:pPr>
            <w:r w:rsidRPr="00DD3825">
              <w:rPr>
                <w:rFonts w:cs="Arial"/>
                <w:b/>
              </w:rPr>
              <w:lastRenderedPageBreak/>
              <w:t xml:space="preserve">Second Baseline Period Gross Measure Cost </w:t>
            </w:r>
            <w:r w:rsidRPr="00DD3825">
              <w:rPr>
                <w:rFonts w:cs="Arial"/>
                <w:b/>
              </w:rPr>
              <w:lastRenderedPageBreak/>
              <w:t>(EUL – RUL)</w:t>
            </w:r>
          </w:p>
        </w:tc>
      </w:tr>
      <w:tr w:rsidR="009B1863" w:rsidRPr="00DD3825" w:rsidTr="001E4C31">
        <w:trPr>
          <w:trHeight w:val="255"/>
        </w:trPr>
        <w:tc>
          <w:tcPr>
            <w:tcW w:w="1964" w:type="dxa"/>
            <w:shd w:val="pct20" w:color="000000" w:fill="FFFFFF"/>
            <w:noWrap/>
            <w:vAlign w:val="bottom"/>
          </w:tcPr>
          <w:p w:rsidR="00B16BE4" w:rsidRPr="00DD3825" w:rsidRDefault="00D51B97" w:rsidP="00D51B97">
            <w:pPr>
              <w:jc w:val="center"/>
              <w:rPr>
                <w:rFonts w:cs="Arial"/>
                <w:b/>
                <w:i/>
              </w:rPr>
            </w:pPr>
            <w:r>
              <w:rPr>
                <w:rFonts w:cs="Arial"/>
                <w:b/>
                <w:i/>
              </w:rPr>
              <w:lastRenderedPageBreak/>
              <w:t>R</w:t>
            </w:r>
            <w:r w:rsidR="009B1863" w:rsidRPr="00DD3825">
              <w:rPr>
                <w:rFonts w:cs="Arial"/>
                <w:b/>
                <w:i/>
              </w:rPr>
              <w:t>E</w:t>
            </w:r>
            <w:r>
              <w:rPr>
                <w:rFonts w:cs="Arial"/>
                <w:b/>
                <w:i/>
              </w:rPr>
              <w:t>A</w:t>
            </w:r>
            <w:r w:rsidR="009B1863" w:rsidRPr="00DD3825">
              <w:rPr>
                <w:rFonts w:cs="Arial"/>
                <w:b/>
                <w:i/>
              </w:rPr>
              <w:t xml:space="preserve"> (</w:t>
            </w:r>
            <w:r>
              <w:rPr>
                <w:rFonts w:cs="Arial"/>
                <w:b/>
                <w:i/>
              </w:rPr>
              <w:t>Retrofit Add-on)</w:t>
            </w:r>
          </w:p>
        </w:tc>
        <w:tc>
          <w:tcPr>
            <w:tcW w:w="1202" w:type="dxa"/>
            <w:shd w:val="pct20" w:color="000000" w:fill="FFFFFF"/>
            <w:noWrap/>
            <w:vAlign w:val="bottom"/>
          </w:tcPr>
          <w:p w:rsidR="00B16BE4" w:rsidRPr="00DD3825" w:rsidRDefault="00B16BE4" w:rsidP="001E4C31">
            <w:pPr>
              <w:jc w:val="center"/>
              <w:rPr>
                <w:rFonts w:cs="Arial"/>
                <w:sz w:val="20"/>
                <w:szCs w:val="20"/>
              </w:rPr>
            </w:pPr>
            <w:r w:rsidRPr="00DD3825">
              <w:rPr>
                <w:rFonts w:cs="Arial"/>
                <w:sz w:val="20"/>
                <w:szCs w:val="20"/>
              </w:rPr>
              <w:t>RUL/</w:t>
            </w:r>
          </w:p>
          <w:p w:rsidR="00B16BE4" w:rsidRPr="00DD3825" w:rsidRDefault="00B16BE4" w:rsidP="001E4C31">
            <w:pPr>
              <w:jc w:val="center"/>
              <w:rPr>
                <w:rFonts w:cs="Arial"/>
                <w:sz w:val="20"/>
                <w:szCs w:val="20"/>
              </w:rPr>
            </w:pPr>
            <w:r w:rsidRPr="00DD3825">
              <w:rPr>
                <w:rFonts w:cs="Arial"/>
                <w:sz w:val="20"/>
                <w:szCs w:val="20"/>
              </w:rPr>
              <w:t>EUL-RUL</w:t>
            </w:r>
          </w:p>
        </w:tc>
        <w:tc>
          <w:tcPr>
            <w:tcW w:w="2699" w:type="dxa"/>
            <w:shd w:val="pct20" w:color="000000" w:fill="FFFFFF"/>
            <w:vAlign w:val="bottom"/>
          </w:tcPr>
          <w:p w:rsidR="00B16BE4" w:rsidRPr="00DD3825" w:rsidRDefault="00B16BE4" w:rsidP="001E4C31">
            <w:pPr>
              <w:jc w:val="center"/>
              <w:rPr>
                <w:rFonts w:cs="Arial"/>
                <w:sz w:val="20"/>
                <w:szCs w:val="20"/>
              </w:rPr>
            </w:pPr>
            <w:r w:rsidRPr="00DD3825">
              <w:rPr>
                <w:rFonts w:cs="Arial"/>
                <w:sz w:val="20"/>
                <w:szCs w:val="20"/>
              </w:rPr>
              <w:t>Calculated as Full Gross Measure Cost</w:t>
            </w:r>
          </w:p>
        </w:tc>
        <w:tc>
          <w:tcPr>
            <w:tcW w:w="2790" w:type="dxa"/>
            <w:shd w:val="pct20" w:color="000000" w:fill="FFFFFF"/>
            <w:noWrap/>
            <w:vAlign w:val="bottom"/>
          </w:tcPr>
          <w:p w:rsidR="00B16BE4" w:rsidRPr="00DD3825" w:rsidRDefault="00B16BE4" w:rsidP="001E4C31">
            <w:pPr>
              <w:jc w:val="center"/>
              <w:rPr>
                <w:rFonts w:cs="Arial"/>
                <w:sz w:val="20"/>
                <w:szCs w:val="20"/>
              </w:rPr>
            </w:pPr>
            <w:r w:rsidRPr="00DD3825">
              <w:rPr>
                <w:rFonts w:cs="Arial"/>
                <w:sz w:val="20"/>
                <w:szCs w:val="20"/>
              </w:rPr>
              <w:t>Calculated as Negative Full Gross Base Case Cost</w:t>
            </w:r>
          </w:p>
        </w:tc>
      </w:tr>
    </w:tbl>
    <w:p w:rsidR="001B242B" w:rsidRPr="00DD3825" w:rsidRDefault="00C069A2" w:rsidP="00D20486">
      <w:pPr>
        <w:pStyle w:val="Heading2"/>
        <w:keepNext w:val="0"/>
      </w:pPr>
      <w:bookmarkStart w:id="156" w:name="_Toc324318372"/>
      <w:bookmarkStart w:id="157" w:name="_Toc324340501"/>
      <w:bookmarkStart w:id="158" w:name="_Toc386811735"/>
      <w:r w:rsidRPr="00DD3825">
        <w:t>4.1 Base Case</w:t>
      </w:r>
      <w:r w:rsidR="00C221D5" w:rsidRPr="00DD3825">
        <w:t>(</w:t>
      </w:r>
      <w:r w:rsidRPr="00DD3825">
        <w:t>s</w:t>
      </w:r>
      <w:r w:rsidR="00C221D5" w:rsidRPr="00DD3825">
        <w:t>)</w:t>
      </w:r>
      <w:r w:rsidRPr="00DD3825">
        <w:t xml:space="preserve"> Costs</w:t>
      </w:r>
      <w:bookmarkEnd w:id="155"/>
      <w:bookmarkEnd w:id="156"/>
      <w:bookmarkEnd w:id="157"/>
      <w:bookmarkEnd w:id="158"/>
    </w:p>
    <w:p w:rsidR="00BD0D15" w:rsidRPr="00DD3825" w:rsidRDefault="00B16BE4" w:rsidP="00AB675E">
      <w:r w:rsidRPr="00DD3825">
        <w:t xml:space="preserve">The following </w:t>
      </w:r>
      <w:r w:rsidR="002E6162" w:rsidRPr="00DD3825">
        <w:t>Measure Application Types</w:t>
      </w:r>
      <w:r w:rsidR="00F26C8D" w:rsidRPr="00DD3825">
        <w:t xml:space="preserve"> is</w:t>
      </w:r>
      <w:r w:rsidRPr="00DD3825">
        <w:t xml:space="preserve"> are appropriate to </w:t>
      </w:r>
      <w:r w:rsidR="00F26C8D" w:rsidRPr="00DD3825">
        <w:t>these measures</w:t>
      </w:r>
      <w:r w:rsidRPr="00DD3825">
        <w:t xml:space="preserve">. </w:t>
      </w:r>
      <w:r w:rsidR="00DD1C47" w:rsidRPr="00DD3825">
        <w:t>The</w:t>
      </w:r>
      <w:r w:rsidR="00BD0D15" w:rsidRPr="00DD3825">
        <w:t xml:space="preserve"> Base Case Costs are:</w:t>
      </w:r>
    </w:p>
    <w:p w:rsidR="00BD0D15" w:rsidRPr="00DD3825" w:rsidRDefault="00BD0D15" w:rsidP="00AB675E">
      <w:pPr>
        <w:rPr>
          <w:i/>
        </w:rPr>
      </w:pPr>
    </w:p>
    <w:tbl>
      <w:tblPr>
        <w:tblStyle w:val="PGEWorkPaper"/>
        <w:tblW w:w="0" w:type="auto"/>
        <w:tblLook w:val="00A0" w:firstRow="1" w:lastRow="0" w:firstColumn="1" w:lastColumn="0" w:noHBand="0" w:noVBand="0"/>
      </w:tblPr>
      <w:tblGrid>
        <w:gridCol w:w="1028"/>
        <w:gridCol w:w="1420"/>
        <w:gridCol w:w="1620"/>
        <w:gridCol w:w="1440"/>
        <w:gridCol w:w="1341"/>
        <w:gridCol w:w="1513"/>
        <w:gridCol w:w="1214"/>
      </w:tblGrid>
      <w:tr w:rsidR="00DD1C47" w:rsidRPr="00DD3825" w:rsidTr="00F26C8D">
        <w:trPr>
          <w:cnfStyle w:val="100000000000" w:firstRow="1" w:lastRow="0" w:firstColumn="0" w:lastColumn="0" w:oddVBand="0" w:evenVBand="0" w:oddHBand="0" w:evenHBand="0" w:firstRowFirstColumn="0" w:firstRowLastColumn="0" w:lastRowFirstColumn="0" w:lastRowLastColumn="0"/>
        </w:trPr>
        <w:tc>
          <w:tcPr>
            <w:tcW w:w="1028" w:type="dxa"/>
          </w:tcPr>
          <w:p w:rsidR="00DD1C47" w:rsidRPr="00DD3825" w:rsidRDefault="00DD1C47" w:rsidP="00AB2D9E">
            <w:pPr>
              <w:rPr>
                <w:rFonts w:cs="Arial"/>
                <w:b w:val="0"/>
                <w:i/>
                <w:color w:val="auto"/>
                <w:sz w:val="20"/>
                <w:szCs w:val="20"/>
              </w:rPr>
            </w:pPr>
            <w:r w:rsidRPr="00DD3825">
              <w:rPr>
                <w:rFonts w:cs="Arial"/>
                <w:b w:val="0"/>
                <w:i/>
                <w:color w:val="auto"/>
                <w:sz w:val="20"/>
                <w:szCs w:val="20"/>
              </w:rPr>
              <w:t>Measure Code</w:t>
            </w:r>
            <w:r w:rsidR="001D0E87" w:rsidRPr="00DD3825">
              <w:rPr>
                <w:rFonts w:cs="Arial"/>
                <w:b w:val="0"/>
                <w:i/>
                <w:color w:val="auto"/>
                <w:sz w:val="20"/>
                <w:szCs w:val="20"/>
              </w:rPr>
              <w:t>s</w:t>
            </w:r>
          </w:p>
        </w:tc>
        <w:tc>
          <w:tcPr>
            <w:tcW w:w="1420" w:type="dxa"/>
          </w:tcPr>
          <w:p w:rsidR="00DD1C47" w:rsidRPr="00DD3825" w:rsidRDefault="003541A6" w:rsidP="00AB2D9E">
            <w:pPr>
              <w:rPr>
                <w:rFonts w:cs="Arial"/>
                <w:b w:val="0"/>
                <w:color w:val="auto"/>
                <w:sz w:val="20"/>
                <w:szCs w:val="20"/>
              </w:rPr>
            </w:pPr>
            <w:r w:rsidRPr="00DD3825">
              <w:rPr>
                <w:rFonts w:cs="Arial"/>
                <w:b w:val="0"/>
                <w:color w:val="auto"/>
                <w:sz w:val="20"/>
                <w:szCs w:val="20"/>
              </w:rPr>
              <w:t>Measure Application Type</w:t>
            </w:r>
          </w:p>
        </w:tc>
        <w:tc>
          <w:tcPr>
            <w:tcW w:w="1620" w:type="dxa"/>
          </w:tcPr>
          <w:p w:rsidR="00DD1C47" w:rsidRPr="00DD3825" w:rsidRDefault="00DD1C47" w:rsidP="00AB2D9E">
            <w:pPr>
              <w:rPr>
                <w:rFonts w:cs="Arial"/>
                <w:b w:val="0"/>
                <w:color w:val="auto"/>
                <w:sz w:val="20"/>
                <w:szCs w:val="20"/>
              </w:rPr>
            </w:pPr>
            <w:r w:rsidRPr="00DD3825">
              <w:rPr>
                <w:rFonts w:cs="Arial"/>
                <w:b w:val="0"/>
                <w:color w:val="auto"/>
                <w:sz w:val="20"/>
                <w:szCs w:val="20"/>
              </w:rPr>
              <w:t>Baseline</w:t>
            </w:r>
          </w:p>
        </w:tc>
        <w:tc>
          <w:tcPr>
            <w:tcW w:w="1440" w:type="dxa"/>
          </w:tcPr>
          <w:p w:rsidR="00DD1C47" w:rsidRPr="00DD3825" w:rsidRDefault="00DD1C47" w:rsidP="00AB2D9E">
            <w:pPr>
              <w:rPr>
                <w:rFonts w:cs="Arial"/>
                <w:b w:val="0"/>
                <w:color w:val="auto"/>
                <w:sz w:val="20"/>
                <w:szCs w:val="20"/>
              </w:rPr>
            </w:pPr>
            <w:r w:rsidRPr="00DD3825">
              <w:rPr>
                <w:rFonts w:cs="Arial"/>
                <w:b w:val="0"/>
                <w:color w:val="auto"/>
                <w:sz w:val="20"/>
                <w:szCs w:val="20"/>
              </w:rPr>
              <w:t>Equipment Cost</w:t>
            </w:r>
            <w:r w:rsidR="00536140" w:rsidRPr="00DD3825">
              <w:rPr>
                <w:rFonts w:cs="Arial"/>
                <w:b w:val="0"/>
                <w:color w:val="auto"/>
                <w:sz w:val="20"/>
                <w:szCs w:val="20"/>
              </w:rPr>
              <w:t xml:space="preserve"> ($)</w:t>
            </w:r>
          </w:p>
        </w:tc>
        <w:tc>
          <w:tcPr>
            <w:tcW w:w="1341" w:type="dxa"/>
          </w:tcPr>
          <w:p w:rsidR="00DD1C47" w:rsidRPr="00DD3825" w:rsidRDefault="00DD1C47" w:rsidP="00AB2D9E">
            <w:pPr>
              <w:rPr>
                <w:rFonts w:cs="Arial"/>
                <w:b w:val="0"/>
                <w:color w:val="auto"/>
                <w:sz w:val="20"/>
                <w:szCs w:val="20"/>
              </w:rPr>
            </w:pPr>
            <w:r w:rsidRPr="00DD3825">
              <w:rPr>
                <w:rFonts w:cs="Arial"/>
                <w:b w:val="0"/>
                <w:color w:val="auto"/>
                <w:sz w:val="20"/>
                <w:szCs w:val="20"/>
              </w:rPr>
              <w:t>Labor / Installation Cost</w:t>
            </w:r>
            <w:r w:rsidR="00536140" w:rsidRPr="00DD3825">
              <w:rPr>
                <w:rFonts w:cs="Arial"/>
                <w:b w:val="0"/>
                <w:color w:val="auto"/>
                <w:sz w:val="20"/>
                <w:szCs w:val="20"/>
              </w:rPr>
              <w:t xml:space="preserve"> ($)</w:t>
            </w:r>
          </w:p>
        </w:tc>
        <w:tc>
          <w:tcPr>
            <w:tcW w:w="1513" w:type="dxa"/>
          </w:tcPr>
          <w:p w:rsidR="00DD1C47" w:rsidRPr="00DD3825" w:rsidRDefault="00DD1C47" w:rsidP="00AB2D9E">
            <w:pPr>
              <w:rPr>
                <w:rFonts w:cs="Arial"/>
                <w:b w:val="0"/>
                <w:color w:val="auto"/>
                <w:sz w:val="20"/>
                <w:szCs w:val="20"/>
              </w:rPr>
            </w:pPr>
            <w:r w:rsidRPr="00DD3825">
              <w:rPr>
                <w:rFonts w:cs="Arial"/>
                <w:b w:val="0"/>
                <w:color w:val="auto"/>
                <w:sz w:val="20"/>
                <w:szCs w:val="20"/>
              </w:rPr>
              <w:t>Maintenance / Other Cost</w:t>
            </w:r>
            <w:r w:rsidR="00536140" w:rsidRPr="00DD3825">
              <w:rPr>
                <w:rFonts w:cs="Arial"/>
                <w:b w:val="0"/>
                <w:color w:val="auto"/>
                <w:sz w:val="20"/>
                <w:szCs w:val="20"/>
              </w:rPr>
              <w:t xml:space="preserve"> ($)</w:t>
            </w:r>
          </w:p>
        </w:tc>
        <w:tc>
          <w:tcPr>
            <w:tcW w:w="1214" w:type="dxa"/>
          </w:tcPr>
          <w:p w:rsidR="00DD1C47" w:rsidRPr="00DD3825" w:rsidRDefault="00DD1C47" w:rsidP="00AB2D9E">
            <w:pPr>
              <w:rPr>
                <w:rFonts w:cs="Arial"/>
                <w:b w:val="0"/>
                <w:color w:val="auto"/>
                <w:sz w:val="20"/>
                <w:szCs w:val="20"/>
              </w:rPr>
            </w:pPr>
            <w:r w:rsidRPr="00DD3825">
              <w:rPr>
                <w:rFonts w:cs="Arial"/>
                <w:b w:val="0"/>
                <w:color w:val="auto"/>
                <w:sz w:val="20"/>
                <w:szCs w:val="20"/>
              </w:rPr>
              <w:t>Total Base Case Cost</w:t>
            </w:r>
            <w:r w:rsidR="00536140" w:rsidRPr="00DD3825">
              <w:rPr>
                <w:rFonts w:cs="Arial"/>
                <w:b w:val="0"/>
                <w:color w:val="auto"/>
                <w:sz w:val="20"/>
                <w:szCs w:val="20"/>
              </w:rPr>
              <w:t xml:space="preserve"> ($)</w:t>
            </w:r>
          </w:p>
        </w:tc>
      </w:tr>
      <w:tr w:rsidR="00DD1C47" w:rsidRPr="00DD3825" w:rsidTr="00F26C8D">
        <w:trPr>
          <w:cnfStyle w:val="000000100000" w:firstRow="0" w:lastRow="0" w:firstColumn="0" w:lastColumn="0" w:oddVBand="0" w:evenVBand="0" w:oddHBand="1" w:evenHBand="0" w:firstRowFirstColumn="0" w:firstRowLastColumn="0" w:lastRowFirstColumn="0" w:lastRowLastColumn="0"/>
          <w:trHeight w:val="558"/>
        </w:trPr>
        <w:tc>
          <w:tcPr>
            <w:tcW w:w="1028" w:type="dxa"/>
          </w:tcPr>
          <w:p w:rsidR="00DD1C47" w:rsidRPr="00DD3825" w:rsidRDefault="00D51B97" w:rsidP="00AB2D9E">
            <w:pPr>
              <w:rPr>
                <w:rFonts w:cs="Arial"/>
                <w:sz w:val="20"/>
                <w:szCs w:val="20"/>
              </w:rPr>
            </w:pPr>
            <w:r>
              <w:rPr>
                <w:rFonts w:cs="Arial"/>
                <w:sz w:val="20"/>
                <w:szCs w:val="20"/>
              </w:rPr>
              <w:t>HV026 – HV031</w:t>
            </w:r>
          </w:p>
        </w:tc>
        <w:tc>
          <w:tcPr>
            <w:tcW w:w="1420" w:type="dxa"/>
          </w:tcPr>
          <w:p w:rsidR="00DD1C47" w:rsidRPr="00DD3825" w:rsidRDefault="00D51B97" w:rsidP="00ED7D3D">
            <w:pPr>
              <w:rPr>
                <w:rFonts w:cs="Arial"/>
                <w:sz w:val="20"/>
                <w:szCs w:val="20"/>
              </w:rPr>
            </w:pPr>
            <w:r>
              <w:rPr>
                <w:rFonts w:cs="Arial"/>
                <w:sz w:val="20"/>
                <w:szCs w:val="20"/>
              </w:rPr>
              <w:t>REA</w:t>
            </w:r>
          </w:p>
        </w:tc>
        <w:tc>
          <w:tcPr>
            <w:tcW w:w="1620" w:type="dxa"/>
          </w:tcPr>
          <w:p w:rsidR="00DD1C47" w:rsidRPr="00DD3825" w:rsidRDefault="00DD1C47" w:rsidP="00F26C8D">
            <w:pPr>
              <w:rPr>
                <w:rFonts w:cs="Arial"/>
                <w:sz w:val="20"/>
                <w:szCs w:val="20"/>
              </w:rPr>
            </w:pPr>
            <w:r w:rsidRPr="00DD3825">
              <w:rPr>
                <w:rFonts w:cs="Arial"/>
                <w:sz w:val="20"/>
                <w:szCs w:val="20"/>
              </w:rPr>
              <w:t>Existing</w:t>
            </w:r>
          </w:p>
        </w:tc>
        <w:tc>
          <w:tcPr>
            <w:tcW w:w="1440" w:type="dxa"/>
          </w:tcPr>
          <w:p w:rsidR="00DD1C47" w:rsidRPr="00DD3825" w:rsidRDefault="001D0E87" w:rsidP="00AB2D9E">
            <w:pPr>
              <w:rPr>
                <w:rFonts w:cs="Arial"/>
                <w:sz w:val="20"/>
                <w:szCs w:val="20"/>
              </w:rPr>
            </w:pPr>
            <w:r w:rsidRPr="00DD3825">
              <w:rPr>
                <w:rFonts w:cs="Arial"/>
                <w:sz w:val="20"/>
                <w:szCs w:val="20"/>
              </w:rPr>
              <w:t>0</w:t>
            </w:r>
          </w:p>
        </w:tc>
        <w:tc>
          <w:tcPr>
            <w:tcW w:w="1341" w:type="dxa"/>
          </w:tcPr>
          <w:p w:rsidR="00DD1C47" w:rsidRPr="00DD3825" w:rsidRDefault="001D0E87" w:rsidP="00AB2D9E">
            <w:pPr>
              <w:rPr>
                <w:rFonts w:cs="Arial"/>
                <w:sz w:val="20"/>
                <w:szCs w:val="20"/>
              </w:rPr>
            </w:pPr>
            <w:r w:rsidRPr="00DD3825">
              <w:rPr>
                <w:rFonts w:cs="Arial"/>
                <w:sz w:val="20"/>
                <w:szCs w:val="20"/>
              </w:rPr>
              <w:t>0</w:t>
            </w:r>
          </w:p>
        </w:tc>
        <w:tc>
          <w:tcPr>
            <w:tcW w:w="1513" w:type="dxa"/>
          </w:tcPr>
          <w:p w:rsidR="00DD1C47" w:rsidRPr="00DD3825" w:rsidRDefault="001D0E87" w:rsidP="00AB2D9E">
            <w:pPr>
              <w:rPr>
                <w:rFonts w:cs="Arial"/>
                <w:sz w:val="20"/>
                <w:szCs w:val="20"/>
              </w:rPr>
            </w:pPr>
            <w:r w:rsidRPr="00DD3825">
              <w:rPr>
                <w:rFonts w:cs="Arial"/>
                <w:sz w:val="20"/>
                <w:szCs w:val="20"/>
              </w:rPr>
              <w:t>0</w:t>
            </w:r>
          </w:p>
        </w:tc>
        <w:tc>
          <w:tcPr>
            <w:tcW w:w="1214" w:type="dxa"/>
          </w:tcPr>
          <w:p w:rsidR="00DD1C47" w:rsidRPr="00DD3825" w:rsidRDefault="001D0E87" w:rsidP="00AB2D9E">
            <w:pPr>
              <w:rPr>
                <w:rFonts w:cs="Arial"/>
                <w:sz w:val="20"/>
                <w:szCs w:val="20"/>
              </w:rPr>
            </w:pPr>
            <w:r w:rsidRPr="00DD3825">
              <w:rPr>
                <w:rFonts w:cs="Arial"/>
                <w:sz w:val="20"/>
                <w:szCs w:val="20"/>
              </w:rPr>
              <w:t>0</w:t>
            </w:r>
          </w:p>
        </w:tc>
      </w:tr>
    </w:tbl>
    <w:p w:rsidR="00BD0D15" w:rsidRPr="00DD3825" w:rsidRDefault="00DD1C47" w:rsidP="00AB2D9E">
      <w:pPr>
        <w:rPr>
          <w:rFonts w:cs="Arial"/>
          <w:i/>
          <w:sz w:val="20"/>
          <w:szCs w:val="20"/>
        </w:rPr>
      </w:pPr>
      <w:r w:rsidRPr="00DD3825">
        <w:rPr>
          <w:rFonts w:cs="Arial"/>
          <w:i/>
          <w:sz w:val="20"/>
          <w:szCs w:val="20"/>
        </w:rPr>
        <w:t>All costs are noted as $ per measure unit</w:t>
      </w:r>
    </w:p>
    <w:p w:rsidR="00BD0D15" w:rsidRPr="00DD3825" w:rsidRDefault="00BD0D15" w:rsidP="00AB2D9E">
      <w:pPr>
        <w:rPr>
          <w:i/>
        </w:rPr>
      </w:pPr>
    </w:p>
    <w:p w:rsidR="001D0E87" w:rsidRPr="00DD3825" w:rsidRDefault="001D0E87" w:rsidP="001D0E87">
      <w:bookmarkStart w:id="159" w:name="_Toc304800219"/>
      <w:bookmarkStart w:id="160" w:name="_Toc324318373"/>
      <w:bookmarkStart w:id="161" w:name="_Toc324340502"/>
      <w:r w:rsidRPr="00DD3825">
        <w:t>Since this is an ER application for a retrofit on existing equipment, the base case cost is zero.</w:t>
      </w:r>
    </w:p>
    <w:p w:rsidR="001D0E87" w:rsidRPr="00DD3825" w:rsidRDefault="00663A00" w:rsidP="001D0E87">
      <w:pPr>
        <w:pStyle w:val="Heading2"/>
        <w:keepNext w:val="0"/>
      </w:pPr>
      <w:bookmarkStart w:id="162" w:name="_Toc386811736"/>
      <w:r w:rsidRPr="00DD3825">
        <w:t>4.2 Meas</w:t>
      </w:r>
      <w:r w:rsidR="00C069A2" w:rsidRPr="00DD3825">
        <w:t xml:space="preserve">ure </w:t>
      </w:r>
      <w:r w:rsidR="00930877" w:rsidRPr="00DD3825">
        <w:t xml:space="preserve">Case </w:t>
      </w:r>
      <w:r w:rsidR="00C069A2" w:rsidRPr="00DD3825">
        <w:t>Costs</w:t>
      </w:r>
      <w:bookmarkEnd w:id="159"/>
      <w:bookmarkEnd w:id="160"/>
      <w:bookmarkEnd w:id="161"/>
      <w:bookmarkEnd w:id="162"/>
      <w:r w:rsidR="00930877" w:rsidRPr="00DD3825">
        <w:t xml:space="preserve"> </w:t>
      </w:r>
    </w:p>
    <w:p w:rsidR="001D0E87" w:rsidRPr="00DD3825" w:rsidRDefault="001D0E87" w:rsidP="001D0E87">
      <w:r w:rsidRPr="00DD3825">
        <w:t xml:space="preserve">To develop measure cost estimates a combination of retail, manufacturer suggested retail, and distributor costs were gathered for ADEC and CO2 sensors made by multiple manufacturers. Estimates of installation time were developed based on author’s direct experience working with contractors to install ADEC and DCV in field tests of the technology. A base labor rate of $86.93 per hour was used, and was adjusted </w:t>
      </w:r>
      <w:r w:rsidR="00536140" w:rsidRPr="00DD3825">
        <w:t>to account for local variation. A</w:t>
      </w:r>
      <w:r w:rsidRPr="00DD3825">
        <w:t xml:space="preserve"> weighted average cost for the state was developed </w:t>
      </w:r>
      <w:r w:rsidR="00B86BE9" w:rsidRPr="00DD3825">
        <w:t>based on the methodology used for the Draft DEER Measure Cost Update</w:t>
      </w:r>
      <w:r w:rsidR="00971A02" w:rsidRPr="00DD3825">
        <w:rPr>
          <w:rStyle w:val="EndnoteReference"/>
        </w:rPr>
        <w:endnoteReference w:id="11"/>
      </w:r>
      <w:r w:rsidRPr="00DD3825">
        <w:t xml:space="preserve">The base labor rate and adjustments are in alignment with the methodology presented in the Draft DEER Measure Cost Update.  As a controls upgrade, measure costs do not scale strongly with cooling capacity. To reference cost with the same base unit as UES values (per ton) an average capacity of 12.5 tons </w:t>
      </w:r>
      <w:r w:rsidR="00C64A94" w:rsidRPr="00DD3825">
        <w:t xml:space="preserve">was assumed to be the average capacity to which the measure would be applied. </w:t>
      </w:r>
      <w:r w:rsidRPr="00DD3825">
        <w:t xml:space="preserve">Detailed cost calculations are documented in </w:t>
      </w:r>
      <w:r w:rsidRPr="00DD3825">
        <w:rPr>
          <w:i/>
        </w:rPr>
        <w:t>DCV_CO2+ADEC cost data.xlsx</w:t>
      </w:r>
      <w:r w:rsidR="0050570F" w:rsidRPr="00DD3825">
        <w:rPr>
          <w:rStyle w:val="EndnoteReference"/>
          <w:i/>
        </w:rPr>
        <w:endnoteReference w:id="12"/>
      </w:r>
      <w:r w:rsidRPr="00DD3825">
        <w:rPr>
          <w:i/>
        </w:rPr>
        <w:t>.</w:t>
      </w:r>
      <w:r w:rsidRPr="00DD3825">
        <w:rPr>
          <w:i/>
        </w:rPr>
        <w:fldChar w:fldCharType="begin"/>
      </w:r>
      <w:r w:rsidRPr="00DD3825">
        <w:rPr>
          <w:i/>
        </w:rPr>
        <w:instrText xml:space="preserve"> REF _Ref384796445 \h </w:instrText>
      </w:r>
      <w:r w:rsidR="00DD3825">
        <w:rPr>
          <w:i/>
        </w:rPr>
        <w:instrText xml:space="preserve"> \* MERGEFORMAT </w:instrText>
      </w:r>
      <w:r w:rsidRPr="00DD3825">
        <w:rPr>
          <w:i/>
        </w:rPr>
      </w:r>
      <w:r w:rsidRPr="00DD3825">
        <w:rPr>
          <w:i/>
        </w:rPr>
        <w:fldChar w:fldCharType="separate"/>
      </w:r>
      <w:r w:rsidR="00B424F3" w:rsidRPr="00DD3825">
        <w:t xml:space="preserve">Table </w:t>
      </w:r>
      <w:r w:rsidR="00B424F3">
        <w:rPr>
          <w:noProof/>
        </w:rPr>
        <w:t>19</w:t>
      </w:r>
      <w:r w:rsidRPr="00DD3825">
        <w:rPr>
          <w:i/>
        </w:rPr>
        <w:fldChar w:fldCharType="end"/>
      </w:r>
      <w:r w:rsidRPr="00DD3825">
        <w:rPr>
          <w:i/>
        </w:rPr>
        <w:t xml:space="preserve"> </w:t>
      </w:r>
      <w:r w:rsidRPr="00DD3825">
        <w:t>provides calculated costs adjusted for local labor rates and weighted by deemed HVAC claims.</w:t>
      </w:r>
    </w:p>
    <w:p w:rsidR="001D0E87" w:rsidRPr="00DD3825" w:rsidRDefault="001D0E87" w:rsidP="001D0E87"/>
    <w:p w:rsidR="001D0E87" w:rsidRPr="00DD3825" w:rsidRDefault="001D0E87" w:rsidP="001D0E87">
      <w:pPr>
        <w:pStyle w:val="Caption"/>
        <w:keepNext/>
        <w:jc w:val="center"/>
      </w:pPr>
      <w:bookmarkStart w:id="163" w:name="_Ref384796445"/>
      <w:bookmarkStart w:id="164" w:name="_Toc386811759"/>
      <w:r w:rsidRPr="00DD3825">
        <w:t xml:space="preserve">Table </w:t>
      </w:r>
      <w:r w:rsidR="00FF41C5">
        <w:fldChar w:fldCharType="begin"/>
      </w:r>
      <w:r w:rsidR="00FF41C5">
        <w:instrText xml:space="preserve"> SEQ Table \* ARABIC </w:instrText>
      </w:r>
      <w:r w:rsidR="00FF41C5">
        <w:fldChar w:fldCharType="separate"/>
      </w:r>
      <w:r w:rsidR="00B424F3">
        <w:rPr>
          <w:noProof/>
        </w:rPr>
        <w:t>19</w:t>
      </w:r>
      <w:r w:rsidR="00FF41C5">
        <w:rPr>
          <w:noProof/>
        </w:rPr>
        <w:fldChar w:fldCharType="end"/>
      </w:r>
      <w:bookmarkEnd w:id="163"/>
      <w:r w:rsidRPr="00DD3825">
        <w:t xml:space="preserve"> Measure Cost Data</w:t>
      </w:r>
      <w:bookmarkEnd w:id="164"/>
    </w:p>
    <w:tbl>
      <w:tblPr>
        <w:tblStyle w:val="PGEWorkPaper"/>
        <w:tblW w:w="9576" w:type="dxa"/>
        <w:tblLayout w:type="fixed"/>
        <w:tblLook w:val="04A0" w:firstRow="1" w:lastRow="0" w:firstColumn="1" w:lastColumn="0" w:noHBand="0" w:noVBand="1"/>
      </w:tblPr>
      <w:tblGrid>
        <w:gridCol w:w="1098"/>
        <w:gridCol w:w="1080"/>
        <w:gridCol w:w="1056"/>
        <w:gridCol w:w="1057"/>
        <w:gridCol w:w="1057"/>
        <w:gridCol w:w="1057"/>
        <w:gridCol w:w="1057"/>
        <w:gridCol w:w="1057"/>
        <w:gridCol w:w="1057"/>
      </w:tblGrid>
      <w:tr w:rsidR="001D0E87" w:rsidRPr="00DD3825" w:rsidTr="00211042">
        <w:trPr>
          <w:cnfStyle w:val="100000000000" w:firstRow="1" w:lastRow="0" w:firstColumn="0" w:lastColumn="0" w:oddVBand="0" w:evenVBand="0" w:oddHBand="0" w:evenHBand="0" w:firstRowFirstColumn="0" w:firstRowLastColumn="0" w:lastRowFirstColumn="0" w:lastRowLastColumn="0"/>
          <w:trHeight w:val="1530"/>
        </w:trPr>
        <w:tc>
          <w:tcPr>
            <w:tcW w:w="1098" w:type="dxa"/>
            <w:noWrap/>
            <w:hideMark/>
          </w:tcPr>
          <w:p w:rsidR="001D0E87" w:rsidRPr="00DD3825" w:rsidRDefault="001D0E87" w:rsidP="00D33AF6">
            <w:pPr>
              <w:rPr>
                <w:color w:val="auto"/>
                <w:sz w:val="20"/>
              </w:rPr>
            </w:pPr>
            <w:r w:rsidRPr="00DD3825">
              <w:rPr>
                <w:color w:val="auto"/>
                <w:sz w:val="20"/>
              </w:rPr>
              <w:t>Measure Codes</w:t>
            </w:r>
          </w:p>
        </w:tc>
        <w:tc>
          <w:tcPr>
            <w:tcW w:w="1080" w:type="dxa"/>
            <w:noWrap/>
            <w:hideMark/>
          </w:tcPr>
          <w:p w:rsidR="001D0E87" w:rsidRPr="00DD3825" w:rsidRDefault="001D0E87" w:rsidP="00D33AF6">
            <w:pPr>
              <w:rPr>
                <w:color w:val="auto"/>
                <w:sz w:val="20"/>
              </w:rPr>
            </w:pPr>
            <w:r w:rsidRPr="00DD3825">
              <w:rPr>
                <w:color w:val="auto"/>
                <w:sz w:val="20"/>
              </w:rPr>
              <w:t>Measure</w:t>
            </w:r>
          </w:p>
        </w:tc>
        <w:tc>
          <w:tcPr>
            <w:tcW w:w="1056" w:type="dxa"/>
          </w:tcPr>
          <w:p w:rsidR="001D0E87" w:rsidRPr="00DD3825" w:rsidRDefault="001D0E87" w:rsidP="00D33AF6">
            <w:pPr>
              <w:rPr>
                <w:color w:val="auto"/>
                <w:sz w:val="20"/>
              </w:rPr>
            </w:pPr>
            <w:r w:rsidRPr="00DD3825">
              <w:rPr>
                <w:color w:val="auto"/>
                <w:sz w:val="20"/>
              </w:rPr>
              <w:t>Measure Material Cost ($)</w:t>
            </w:r>
          </w:p>
        </w:tc>
        <w:tc>
          <w:tcPr>
            <w:tcW w:w="1057" w:type="dxa"/>
          </w:tcPr>
          <w:p w:rsidR="001D0E87" w:rsidRPr="00DD3825" w:rsidRDefault="001D0E87" w:rsidP="00D33AF6">
            <w:pPr>
              <w:rPr>
                <w:color w:val="auto"/>
                <w:sz w:val="20"/>
              </w:rPr>
            </w:pPr>
            <w:r w:rsidRPr="00DD3825">
              <w:rPr>
                <w:color w:val="auto"/>
                <w:sz w:val="20"/>
              </w:rPr>
              <w:t>Labor Cost ($)</w:t>
            </w:r>
          </w:p>
        </w:tc>
        <w:tc>
          <w:tcPr>
            <w:tcW w:w="1057" w:type="dxa"/>
          </w:tcPr>
          <w:p w:rsidR="001D0E87" w:rsidRPr="00DD3825" w:rsidRDefault="001D0E87" w:rsidP="00D33AF6">
            <w:pPr>
              <w:rPr>
                <w:color w:val="auto"/>
                <w:sz w:val="20"/>
              </w:rPr>
            </w:pPr>
            <w:r w:rsidRPr="00DD3825">
              <w:rPr>
                <w:color w:val="auto"/>
                <w:sz w:val="20"/>
              </w:rPr>
              <w:t>Measure Cost ($)</w:t>
            </w:r>
          </w:p>
        </w:tc>
        <w:tc>
          <w:tcPr>
            <w:tcW w:w="1057" w:type="dxa"/>
          </w:tcPr>
          <w:p w:rsidR="001D0E87" w:rsidRPr="00DD3825" w:rsidRDefault="001D0E87" w:rsidP="00D33AF6">
            <w:pPr>
              <w:rPr>
                <w:color w:val="auto"/>
                <w:sz w:val="20"/>
              </w:rPr>
            </w:pPr>
            <w:r w:rsidRPr="00DD3825">
              <w:rPr>
                <w:color w:val="auto"/>
                <w:sz w:val="20"/>
              </w:rPr>
              <w:t xml:space="preserve">Avg. tonnage </w:t>
            </w:r>
          </w:p>
        </w:tc>
        <w:tc>
          <w:tcPr>
            <w:tcW w:w="1057" w:type="dxa"/>
            <w:hideMark/>
          </w:tcPr>
          <w:p w:rsidR="001D0E87" w:rsidRPr="00DD3825" w:rsidRDefault="001D0E87" w:rsidP="00D33AF6">
            <w:pPr>
              <w:rPr>
                <w:color w:val="auto"/>
                <w:sz w:val="20"/>
              </w:rPr>
            </w:pPr>
            <w:r w:rsidRPr="00DD3825">
              <w:rPr>
                <w:color w:val="auto"/>
                <w:sz w:val="20"/>
              </w:rPr>
              <w:t>Measure Material Cost ($/ton)</w:t>
            </w:r>
          </w:p>
        </w:tc>
        <w:tc>
          <w:tcPr>
            <w:tcW w:w="1057" w:type="dxa"/>
            <w:hideMark/>
          </w:tcPr>
          <w:p w:rsidR="001D0E87" w:rsidRPr="00DD3825" w:rsidRDefault="001D0E87" w:rsidP="00D33AF6">
            <w:pPr>
              <w:rPr>
                <w:color w:val="auto"/>
                <w:sz w:val="20"/>
              </w:rPr>
            </w:pPr>
            <w:r w:rsidRPr="00DD3825">
              <w:rPr>
                <w:color w:val="auto"/>
                <w:sz w:val="20"/>
              </w:rPr>
              <w:t>Labor Cost ($/ton)</w:t>
            </w:r>
          </w:p>
        </w:tc>
        <w:tc>
          <w:tcPr>
            <w:tcW w:w="1057" w:type="dxa"/>
            <w:hideMark/>
          </w:tcPr>
          <w:p w:rsidR="001D0E87" w:rsidRPr="00DD3825" w:rsidRDefault="001D0E87" w:rsidP="00D33AF6">
            <w:pPr>
              <w:rPr>
                <w:color w:val="auto"/>
                <w:sz w:val="20"/>
              </w:rPr>
            </w:pPr>
            <w:r w:rsidRPr="00DD3825">
              <w:rPr>
                <w:color w:val="auto"/>
                <w:sz w:val="20"/>
              </w:rPr>
              <w:t>Measure</w:t>
            </w:r>
            <w:r w:rsidRPr="00DD3825">
              <w:rPr>
                <w:color w:val="auto"/>
                <w:sz w:val="20"/>
              </w:rPr>
              <w:br/>
              <w:t>Cost ($/ton)</w:t>
            </w:r>
          </w:p>
        </w:tc>
      </w:tr>
      <w:tr w:rsidR="001D0E87" w:rsidRPr="00DD3825" w:rsidTr="00211042">
        <w:trPr>
          <w:cnfStyle w:val="000000100000" w:firstRow="0" w:lastRow="0" w:firstColumn="0" w:lastColumn="0" w:oddVBand="0" w:evenVBand="0" w:oddHBand="1" w:evenHBand="0" w:firstRowFirstColumn="0" w:firstRowLastColumn="0" w:lastRowFirstColumn="0" w:lastRowLastColumn="0"/>
          <w:trHeight w:val="255"/>
        </w:trPr>
        <w:tc>
          <w:tcPr>
            <w:tcW w:w="1098" w:type="dxa"/>
            <w:noWrap/>
            <w:hideMark/>
          </w:tcPr>
          <w:p w:rsidR="001D0E87" w:rsidRPr="00DD3825" w:rsidRDefault="00D51B97" w:rsidP="00D33AF6">
            <w:pPr>
              <w:rPr>
                <w:sz w:val="20"/>
              </w:rPr>
            </w:pPr>
            <w:r>
              <w:rPr>
                <w:sz w:val="20"/>
              </w:rPr>
              <w:t>HV026, HV028, HV030</w:t>
            </w:r>
          </w:p>
        </w:tc>
        <w:tc>
          <w:tcPr>
            <w:tcW w:w="1080" w:type="dxa"/>
            <w:noWrap/>
            <w:hideMark/>
          </w:tcPr>
          <w:p w:rsidR="001D0E87" w:rsidRPr="00DD3825" w:rsidRDefault="001D0E87" w:rsidP="00D51B97">
            <w:pPr>
              <w:rPr>
                <w:sz w:val="20"/>
              </w:rPr>
            </w:pPr>
            <w:r w:rsidRPr="00DD3825">
              <w:rPr>
                <w:sz w:val="20"/>
              </w:rPr>
              <w:t>Add ADEC and CO2 sensor</w:t>
            </w:r>
            <w:r w:rsidR="00D51B97">
              <w:rPr>
                <w:sz w:val="20"/>
              </w:rPr>
              <w:t xml:space="preserve"> to existing system</w:t>
            </w:r>
          </w:p>
        </w:tc>
        <w:tc>
          <w:tcPr>
            <w:tcW w:w="1056" w:type="dxa"/>
          </w:tcPr>
          <w:p w:rsidR="001D0E87" w:rsidRPr="00DD3825" w:rsidRDefault="001D0E87" w:rsidP="00D33AF6">
            <w:pPr>
              <w:rPr>
                <w:sz w:val="20"/>
              </w:rPr>
            </w:pPr>
            <w:r w:rsidRPr="00DD3825">
              <w:rPr>
                <w:sz w:val="20"/>
              </w:rPr>
              <w:t>1220.25</w:t>
            </w:r>
          </w:p>
        </w:tc>
        <w:tc>
          <w:tcPr>
            <w:tcW w:w="1057" w:type="dxa"/>
          </w:tcPr>
          <w:p w:rsidR="001D0E87" w:rsidRPr="00DD3825" w:rsidRDefault="001D0E87" w:rsidP="00D33AF6">
            <w:pPr>
              <w:rPr>
                <w:sz w:val="20"/>
              </w:rPr>
            </w:pPr>
            <w:r w:rsidRPr="00DD3825">
              <w:rPr>
                <w:sz w:val="20"/>
              </w:rPr>
              <w:t>805.38</w:t>
            </w:r>
          </w:p>
        </w:tc>
        <w:tc>
          <w:tcPr>
            <w:tcW w:w="1057" w:type="dxa"/>
          </w:tcPr>
          <w:p w:rsidR="001D0E87" w:rsidRPr="00DD3825" w:rsidRDefault="001D0E87" w:rsidP="00D33AF6">
            <w:pPr>
              <w:rPr>
                <w:sz w:val="20"/>
              </w:rPr>
            </w:pPr>
            <w:r w:rsidRPr="00DD3825">
              <w:rPr>
                <w:sz w:val="20"/>
              </w:rPr>
              <w:t>2025.63</w:t>
            </w:r>
          </w:p>
        </w:tc>
        <w:tc>
          <w:tcPr>
            <w:tcW w:w="1057" w:type="dxa"/>
          </w:tcPr>
          <w:p w:rsidR="001D0E87" w:rsidRPr="00DD3825" w:rsidRDefault="001D0E87" w:rsidP="00D33AF6">
            <w:pPr>
              <w:rPr>
                <w:sz w:val="20"/>
              </w:rPr>
            </w:pPr>
            <w:r w:rsidRPr="00DD3825">
              <w:rPr>
                <w:sz w:val="20"/>
              </w:rPr>
              <w:t>12.5</w:t>
            </w:r>
          </w:p>
        </w:tc>
        <w:tc>
          <w:tcPr>
            <w:tcW w:w="1057" w:type="dxa"/>
            <w:noWrap/>
            <w:hideMark/>
          </w:tcPr>
          <w:p w:rsidR="001D0E87" w:rsidRPr="00DD3825" w:rsidRDefault="001D0E87" w:rsidP="00D33AF6">
            <w:pPr>
              <w:rPr>
                <w:sz w:val="20"/>
              </w:rPr>
            </w:pPr>
            <w:r w:rsidRPr="00DD3825">
              <w:rPr>
                <w:sz w:val="20"/>
              </w:rPr>
              <w:t>97.62</w:t>
            </w:r>
          </w:p>
        </w:tc>
        <w:tc>
          <w:tcPr>
            <w:tcW w:w="1057" w:type="dxa"/>
            <w:noWrap/>
            <w:hideMark/>
          </w:tcPr>
          <w:p w:rsidR="001D0E87" w:rsidRPr="00DD3825" w:rsidRDefault="001D0E87" w:rsidP="00D33AF6">
            <w:pPr>
              <w:rPr>
                <w:sz w:val="20"/>
              </w:rPr>
            </w:pPr>
            <w:r w:rsidRPr="00DD3825">
              <w:rPr>
                <w:sz w:val="20"/>
              </w:rPr>
              <w:t>64.43</w:t>
            </w:r>
          </w:p>
        </w:tc>
        <w:tc>
          <w:tcPr>
            <w:tcW w:w="1057" w:type="dxa"/>
            <w:noWrap/>
            <w:hideMark/>
          </w:tcPr>
          <w:p w:rsidR="001D0E87" w:rsidRPr="00DD3825" w:rsidRDefault="001D0E87" w:rsidP="00D33AF6">
            <w:pPr>
              <w:rPr>
                <w:sz w:val="20"/>
              </w:rPr>
            </w:pPr>
            <w:r w:rsidRPr="00DD3825">
              <w:rPr>
                <w:sz w:val="20"/>
              </w:rPr>
              <w:t>162.05</w:t>
            </w:r>
          </w:p>
        </w:tc>
      </w:tr>
      <w:tr w:rsidR="001D0E87" w:rsidRPr="00DD3825" w:rsidTr="00211042">
        <w:trPr>
          <w:cnfStyle w:val="000000010000" w:firstRow="0" w:lastRow="0" w:firstColumn="0" w:lastColumn="0" w:oddVBand="0" w:evenVBand="0" w:oddHBand="0" w:evenHBand="1" w:firstRowFirstColumn="0" w:firstRowLastColumn="0" w:lastRowFirstColumn="0" w:lastRowLastColumn="0"/>
          <w:trHeight w:val="255"/>
        </w:trPr>
        <w:tc>
          <w:tcPr>
            <w:tcW w:w="1098" w:type="dxa"/>
            <w:noWrap/>
            <w:hideMark/>
          </w:tcPr>
          <w:p w:rsidR="001D0E87" w:rsidRPr="00DD3825" w:rsidRDefault="00D51B97" w:rsidP="00D33AF6">
            <w:pPr>
              <w:rPr>
                <w:sz w:val="20"/>
              </w:rPr>
            </w:pPr>
            <w:r>
              <w:rPr>
                <w:sz w:val="20"/>
              </w:rPr>
              <w:t>HV027, HV029, HV031</w:t>
            </w:r>
          </w:p>
        </w:tc>
        <w:tc>
          <w:tcPr>
            <w:tcW w:w="1080" w:type="dxa"/>
            <w:noWrap/>
            <w:hideMark/>
          </w:tcPr>
          <w:p w:rsidR="001D0E87" w:rsidRPr="00DD3825" w:rsidRDefault="001D0E87" w:rsidP="00D51B97">
            <w:pPr>
              <w:rPr>
                <w:sz w:val="20"/>
              </w:rPr>
            </w:pPr>
            <w:r w:rsidRPr="00DD3825">
              <w:rPr>
                <w:sz w:val="20"/>
              </w:rPr>
              <w:t xml:space="preserve">Add CO2 sensor to </w:t>
            </w:r>
            <w:r w:rsidR="00D51B97">
              <w:rPr>
                <w:sz w:val="20"/>
              </w:rPr>
              <w:t xml:space="preserve">existing system </w:t>
            </w:r>
            <w:r w:rsidRPr="00DD3825">
              <w:rPr>
                <w:sz w:val="20"/>
              </w:rPr>
              <w:lastRenderedPageBreak/>
              <w:t>with ADEC</w:t>
            </w:r>
          </w:p>
        </w:tc>
        <w:tc>
          <w:tcPr>
            <w:tcW w:w="1056" w:type="dxa"/>
          </w:tcPr>
          <w:p w:rsidR="001D0E87" w:rsidRPr="00DD3825" w:rsidRDefault="001D0E87" w:rsidP="00D33AF6">
            <w:pPr>
              <w:rPr>
                <w:sz w:val="20"/>
              </w:rPr>
            </w:pPr>
            <w:r w:rsidRPr="00DD3825">
              <w:rPr>
                <w:sz w:val="20"/>
              </w:rPr>
              <w:lastRenderedPageBreak/>
              <w:t>406.00</w:t>
            </w:r>
          </w:p>
        </w:tc>
        <w:tc>
          <w:tcPr>
            <w:tcW w:w="1057" w:type="dxa"/>
          </w:tcPr>
          <w:p w:rsidR="001D0E87" w:rsidRPr="00DD3825" w:rsidRDefault="001D0E87" w:rsidP="00D33AF6">
            <w:pPr>
              <w:rPr>
                <w:sz w:val="20"/>
              </w:rPr>
            </w:pPr>
            <w:r w:rsidRPr="00DD3825">
              <w:rPr>
                <w:sz w:val="20"/>
              </w:rPr>
              <w:t>402.63</w:t>
            </w:r>
          </w:p>
        </w:tc>
        <w:tc>
          <w:tcPr>
            <w:tcW w:w="1057" w:type="dxa"/>
          </w:tcPr>
          <w:p w:rsidR="001D0E87" w:rsidRPr="00DD3825" w:rsidRDefault="001D0E87" w:rsidP="00D33AF6">
            <w:pPr>
              <w:rPr>
                <w:sz w:val="20"/>
              </w:rPr>
            </w:pPr>
            <w:r w:rsidRPr="00DD3825">
              <w:rPr>
                <w:sz w:val="20"/>
              </w:rPr>
              <w:t>808.63</w:t>
            </w:r>
          </w:p>
        </w:tc>
        <w:tc>
          <w:tcPr>
            <w:tcW w:w="1057" w:type="dxa"/>
          </w:tcPr>
          <w:p w:rsidR="001D0E87" w:rsidRPr="00DD3825" w:rsidRDefault="001D0E87" w:rsidP="00D33AF6">
            <w:pPr>
              <w:rPr>
                <w:sz w:val="20"/>
              </w:rPr>
            </w:pPr>
            <w:r w:rsidRPr="00DD3825">
              <w:rPr>
                <w:sz w:val="20"/>
              </w:rPr>
              <w:t>12.5</w:t>
            </w:r>
          </w:p>
        </w:tc>
        <w:tc>
          <w:tcPr>
            <w:tcW w:w="1057" w:type="dxa"/>
            <w:noWrap/>
            <w:hideMark/>
          </w:tcPr>
          <w:p w:rsidR="001D0E87" w:rsidRPr="00DD3825" w:rsidRDefault="001D0E87" w:rsidP="00D33AF6">
            <w:pPr>
              <w:rPr>
                <w:sz w:val="20"/>
              </w:rPr>
            </w:pPr>
            <w:r w:rsidRPr="00DD3825">
              <w:rPr>
                <w:sz w:val="20"/>
              </w:rPr>
              <w:t>32.48</w:t>
            </w:r>
          </w:p>
        </w:tc>
        <w:tc>
          <w:tcPr>
            <w:tcW w:w="1057" w:type="dxa"/>
            <w:noWrap/>
            <w:hideMark/>
          </w:tcPr>
          <w:p w:rsidR="001D0E87" w:rsidRPr="00DD3825" w:rsidRDefault="001D0E87" w:rsidP="00D33AF6">
            <w:pPr>
              <w:rPr>
                <w:sz w:val="20"/>
              </w:rPr>
            </w:pPr>
            <w:r w:rsidRPr="00DD3825">
              <w:rPr>
                <w:sz w:val="20"/>
              </w:rPr>
              <w:t>32.21</w:t>
            </w:r>
          </w:p>
        </w:tc>
        <w:tc>
          <w:tcPr>
            <w:tcW w:w="1057" w:type="dxa"/>
            <w:noWrap/>
            <w:hideMark/>
          </w:tcPr>
          <w:p w:rsidR="001D0E87" w:rsidRPr="00DD3825" w:rsidRDefault="001D0E87" w:rsidP="00D33AF6">
            <w:pPr>
              <w:rPr>
                <w:sz w:val="20"/>
              </w:rPr>
            </w:pPr>
            <w:r w:rsidRPr="00DD3825">
              <w:rPr>
                <w:sz w:val="20"/>
              </w:rPr>
              <w:t>64.69</w:t>
            </w:r>
          </w:p>
        </w:tc>
      </w:tr>
    </w:tbl>
    <w:p w:rsidR="00DD1C47" w:rsidRPr="00DD3825" w:rsidRDefault="00DD1C47" w:rsidP="00F55847">
      <w:pPr>
        <w:rPr>
          <w:rFonts w:cs="Arial"/>
          <w:sz w:val="20"/>
          <w:szCs w:val="20"/>
        </w:rPr>
      </w:pPr>
    </w:p>
    <w:p w:rsidR="001511E8" w:rsidRPr="00DD3825" w:rsidRDefault="001511E8" w:rsidP="001511E8">
      <w:r w:rsidRPr="00DD3825">
        <w:t>The Draft DEER Cost Update includes cost for Demand Controlled Ventilation. For a single zone wall mounted unit with digital display application the equipment cost is $440.08, the labor cost is $651.98, and there is a miscellaneous cost of $1192.13. A comment has been submitted inquiring about specific costs included in the miscellaneous cost. In total, the Draft DEER measure cost is $2,284.19 using the base labor rate of $86.93 before labor rate adjustments are applied. In comparison the cost calculated for this measure prior to labor rate adjustments was $1935.41, or about 15% lower than the Draft DEER cost. The calculated cost compares reasonably well to the total Draft DEER cost, and will be used until the Draft DEER Cost Update Study is finalized and published. At that point it will be determined if it is appropriate or necessary to revise costs to align with the DEER cost.</w:t>
      </w:r>
    </w:p>
    <w:p w:rsidR="001511E8" w:rsidRPr="00DD3825" w:rsidRDefault="001511E8" w:rsidP="00F55847">
      <w:pPr>
        <w:rPr>
          <w:rFonts w:cs="Arial"/>
          <w:sz w:val="20"/>
          <w:szCs w:val="20"/>
        </w:rPr>
      </w:pPr>
    </w:p>
    <w:p w:rsidR="0030550A" w:rsidRPr="00DD3825" w:rsidRDefault="0030550A" w:rsidP="002E0043">
      <w:pPr>
        <w:pStyle w:val="Heading2"/>
        <w:keepNext w:val="0"/>
      </w:pPr>
      <w:bookmarkStart w:id="165" w:name="_Toc304800220"/>
      <w:bookmarkStart w:id="166" w:name="_Toc324318374"/>
      <w:bookmarkStart w:id="167" w:name="_Toc324340503"/>
      <w:bookmarkStart w:id="168" w:name="_Toc386811737"/>
      <w:r w:rsidRPr="00DD3825">
        <w:t>4.3 Incremental &amp; Full Measure Costs</w:t>
      </w:r>
      <w:bookmarkEnd w:id="165"/>
      <w:bookmarkEnd w:id="166"/>
      <w:bookmarkEnd w:id="167"/>
      <w:bookmarkEnd w:id="168"/>
    </w:p>
    <w:p w:rsidR="00B00947" w:rsidRPr="00DD3825" w:rsidRDefault="00B00947" w:rsidP="00B00947">
      <w:r w:rsidRPr="00DD3825">
        <w:t>Since the base case is the existing equipment and has no cost, the incremental and full measure costs are equivalent.</w:t>
      </w:r>
    </w:p>
    <w:p w:rsidR="00B00947" w:rsidRPr="00DD3825" w:rsidRDefault="00B00947" w:rsidP="00B00947"/>
    <w:p w:rsidR="006E6A9A" w:rsidRPr="00DD3825" w:rsidRDefault="006E6A9A" w:rsidP="006E6A9A">
      <w:pPr>
        <w:pStyle w:val="Caption"/>
        <w:keepNext/>
      </w:pPr>
      <w:bookmarkStart w:id="169" w:name="_Toc386811760"/>
      <w:r w:rsidRPr="00DD3825">
        <w:t xml:space="preserve">Table </w:t>
      </w:r>
      <w:r w:rsidR="00FF41C5">
        <w:fldChar w:fldCharType="begin"/>
      </w:r>
      <w:r w:rsidR="00FF41C5">
        <w:instrText xml:space="preserve"> SEQ Table \* ARABIC </w:instrText>
      </w:r>
      <w:r w:rsidR="00FF41C5">
        <w:fldChar w:fldCharType="separate"/>
      </w:r>
      <w:r w:rsidR="00B424F3">
        <w:rPr>
          <w:noProof/>
        </w:rPr>
        <w:t>20</w:t>
      </w:r>
      <w:r w:rsidR="00FF41C5">
        <w:rPr>
          <w:noProof/>
        </w:rPr>
        <w:fldChar w:fldCharType="end"/>
      </w:r>
      <w:r w:rsidRPr="00DD3825">
        <w:t xml:space="preserve"> Incremental &amp; Full Measure Costs</w:t>
      </w:r>
      <w:bookmarkEnd w:id="169"/>
    </w:p>
    <w:tbl>
      <w:tblPr>
        <w:tblStyle w:val="PGEWorkPaper"/>
        <w:tblW w:w="9576" w:type="dxa"/>
        <w:tblLook w:val="0020" w:firstRow="1" w:lastRow="0" w:firstColumn="0" w:lastColumn="0" w:noHBand="0" w:noVBand="0"/>
      </w:tblPr>
      <w:tblGrid>
        <w:gridCol w:w="1109"/>
        <w:gridCol w:w="1414"/>
        <w:gridCol w:w="2013"/>
        <w:gridCol w:w="2070"/>
        <w:gridCol w:w="2970"/>
      </w:tblGrid>
      <w:tr w:rsidR="00B00947" w:rsidRPr="00DD3825" w:rsidTr="006E6A9A">
        <w:trPr>
          <w:cnfStyle w:val="100000000000" w:firstRow="1" w:lastRow="0" w:firstColumn="0" w:lastColumn="0" w:oddVBand="0" w:evenVBand="0" w:oddHBand="0" w:evenHBand="0" w:firstRowFirstColumn="0" w:firstRowLastColumn="0" w:lastRowFirstColumn="0" w:lastRowLastColumn="0"/>
          <w:trHeight w:val="255"/>
        </w:trPr>
        <w:tc>
          <w:tcPr>
            <w:tcW w:w="1109" w:type="dxa"/>
            <w:vAlign w:val="center"/>
          </w:tcPr>
          <w:p w:rsidR="00B00947" w:rsidRPr="00DD3825" w:rsidRDefault="00B00947" w:rsidP="000F5B49">
            <w:pPr>
              <w:rPr>
                <w:color w:val="auto"/>
              </w:rPr>
            </w:pPr>
            <w:r w:rsidRPr="00DD3825">
              <w:rPr>
                <w:color w:val="auto"/>
              </w:rPr>
              <w:t>Measure Codes</w:t>
            </w:r>
          </w:p>
        </w:tc>
        <w:tc>
          <w:tcPr>
            <w:tcW w:w="1414" w:type="dxa"/>
            <w:noWrap/>
            <w:vAlign w:val="center"/>
          </w:tcPr>
          <w:p w:rsidR="00B00947" w:rsidRPr="00DD3825" w:rsidRDefault="00B00947" w:rsidP="000F5B49">
            <w:pPr>
              <w:rPr>
                <w:color w:val="auto"/>
              </w:rPr>
            </w:pPr>
            <w:r w:rsidRPr="00DD3825">
              <w:rPr>
                <w:color w:val="auto"/>
              </w:rPr>
              <w:t>Measure Application Type</w:t>
            </w:r>
          </w:p>
        </w:tc>
        <w:tc>
          <w:tcPr>
            <w:tcW w:w="2013" w:type="dxa"/>
            <w:vAlign w:val="center"/>
          </w:tcPr>
          <w:p w:rsidR="00B00947" w:rsidRPr="00DD3825" w:rsidRDefault="00B00947" w:rsidP="000F5B49">
            <w:pPr>
              <w:rPr>
                <w:color w:val="auto"/>
              </w:rPr>
            </w:pPr>
            <w:r w:rsidRPr="00DD3825">
              <w:rPr>
                <w:color w:val="auto"/>
              </w:rPr>
              <w:t>Measure Cost</w:t>
            </w:r>
          </w:p>
          <w:p w:rsidR="00B00947" w:rsidRPr="00DD3825" w:rsidRDefault="00B00947" w:rsidP="000F5B49">
            <w:pPr>
              <w:rPr>
                <w:color w:val="auto"/>
              </w:rPr>
            </w:pPr>
          </w:p>
        </w:tc>
        <w:tc>
          <w:tcPr>
            <w:tcW w:w="2070" w:type="dxa"/>
            <w:noWrap/>
            <w:vAlign w:val="center"/>
          </w:tcPr>
          <w:p w:rsidR="00B00947" w:rsidRPr="00DD3825" w:rsidRDefault="000F5B49" w:rsidP="000F5B49">
            <w:pPr>
              <w:rPr>
                <w:color w:val="auto"/>
              </w:rPr>
            </w:pPr>
            <w:r w:rsidRPr="00DD3825">
              <w:rPr>
                <w:color w:val="auto"/>
              </w:rPr>
              <w:t>Base Case Cost</w:t>
            </w:r>
          </w:p>
        </w:tc>
        <w:tc>
          <w:tcPr>
            <w:tcW w:w="2970" w:type="dxa"/>
            <w:noWrap/>
            <w:vAlign w:val="center"/>
          </w:tcPr>
          <w:p w:rsidR="00B00947" w:rsidRPr="00DD3825" w:rsidRDefault="00B00947" w:rsidP="000F5B49">
            <w:pPr>
              <w:rPr>
                <w:color w:val="auto"/>
              </w:rPr>
            </w:pPr>
            <w:r w:rsidRPr="00DD3825">
              <w:rPr>
                <w:color w:val="auto"/>
              </w:rPr>
              <w:t>Incremental Measure Cost</w:t>
            </w:r>
          </w:p>
        </w:tc>
      </w:tr>
      <w:tr w:rsidR="00B00947" w:rsidRPr="00DD3825" w:rsidTr="006E6A9A">
        <w:trPr>
          <w:cnfStyle w:val="000000100000" w:firstRow="0" w:lastRow="0" w:firstColumn="0" w:lastColumn="0" w:oddVBand="0" w:evenVBand="0" w:oddHBand="1" w:evenHBand="0" w:firstRowFirstColumn="0" w:firstRowLastColumn="0" w:lastRowFirstColumn="0" w:lastRowLastColumn="0"/>
          <w:trHeight w:val="255"/>
        </w:trPr>
        <w:tc>
          <w:tcPr>
            <w:tcW w:w="1109" w:type="dxa"/>
          </w:tcPr>
          <w:p w:rsidR="00B00947" w:rsidRPr="00DD3825" w:rsidRDefault="000E2060" w:rsidP="00B00947">
            <w:pPr>
              <w:jc w:val="left"/>
            </w:pPr>
            <w:r>
              <w:rPr>
                <w:sz w:val="20"/>
              </w:rPr>
              <w:t>HV026, HV028, HV030</w:t>
            </w:r>
          </w:p>
        </w:tc>
        <w:tc>
          <w:tcPr>
            <w:tcW w:w="1414" w:type="dxa"/>
            <w:noWrap/>
          </w:tcPr>
          <w:p w:rsidR="00B00947" w:rsidRPr="00DD3825" w:rsidRDefault="00D51B97" w:rsidP="00B00947">
            <w:r>
              <w:t>REA</w:t>
            </w:r>
          </w:p>
        </w:tc>
        <w:tc>
          <w:tcPr>
            <w:tcW w:w="2013" w:type="dxa"/>
          </w:tcPr>
          <w:p w:rsidR="00B00947" w:rsidRPr="00DD3825" w:rsidRDefault="00B00947" w:rsidP="00B00947">
            <w:r w:rsidRPr="00DD3825">
              <w:t>162.05</w:t>
            </w:r>
          </w:p>
        </w:tc>
        <w:tc>
          <w:tcPr>
            <w:tcW w:w="2070" w:type="dxa"/>
            <w:noWrap/>
          </w:tcPr>
          <w:p w:rsidR="00B00947" w:rsidRPr="00DD3825" w:rsidRDefault="00B00947" w:rsidP="00B00947">
            <w:r w:rsidRPr="00DD3825">
              <w:t>0</w:t>
            </w:r>
          </w:p>
        </w:tc>
        <w:tc>
          <w:tcPr>
            <w:tcW w:w="2970" w:type="dxa"/>
            <w:noWrap/>
          </w:tcPr>
          <w:p w:rsidR="00B00947" w:rsidRPr="00DD3825" w:rsidRDefault="00B00947" w:rsidP="00B00947">
            <w:r w:rsidRPr="00DD3825">
              <w:t>162.05</w:t>
            </w:r>
          </w:p>
        </w:tc>
      </w:tr>
      <w:tr w:rsidR="00B00947" w:rsidRPr="00DD3825" w:rsidTr="006E6A9A">
        <w:trPr>
          <w:cnfStyle w:val="000000010000" w:firstRow="0" w:lastRow="0" w:firstColumn="0" w:lastColumn="0" w:oddVBand="0" w:evenVBand="0" w:oddHBand="0" w:evenHBand="1" w:firstRowFirstColumn="0" w:firstRowLastColumn="0" w:lastRowFirstColumn="0" w:lastRowLastColumn="0"/>
          <w:trHeight w:val="255"/>
        </w:trPr>
        <w:tc>
          <w:tcPr>
            <w:tcW w:w="1109" w:type="dxa"/>
          </w:tcPr>
          <w:p w:rsidR="00B00947" w:rsidRPr="00DD3825" w:rsidRDefault="000E2060" w:rsidP="00B00947">
            <w:pPr>
              <w:jc w:val="left"/>
            </w:pPr>
            <w:r>
              <w:rPr>
                <w:sz w:val="20"/>
              </w:rPr>
              <w:t>HV027, HV029, HV031</w:t>
            </w:r>
          </w:p>
        </w:tc>
        <w:tc>
          <w:tcPr>
            <w:tcW w:w="1414" w:type="dxa"/>
            <w:noWrap/>
          </w:tcPr>
          <w:p w:rsidR="00B00947" w:rsidRPr="00DD3825" w:rsidRDefault="00D51B97" w:rsidP="00B00947">
            <w:r>
              <w:t>REA</w:t>
            </w:r>
          </w:p>
        </w:tc>
        <w:tc>
          <w:tcPr>
            <w:tcW w:w="2013" w:type="dxa"/>
          </w:tcPr>
          <w:p w:rsidR="00B00947" w:rsidRPr="00DD3825" w:rsidRDefault="00B00947" w:rsidP="00B00947">
            <w:r w:rsidRPr="00DD3825">
              <w:t>64.69</w:t>
            </w:r>
          </w:p>
        </w:tc>
        <w:tc>
          <w:tcPr>
            <w:tcW w:w="2070" w:type="dxa"/>
            <w:noWrap/>
          </w:tcPr>
          <w:p w:rsidR="00B00947" w:rsidRPr="00DD3825" w:rsidRDefault="00B00947" w:rsidP="00B00947">
            <w:r w:rsidRPr="00DD3825">
              <w:t>0</w:t>
            </w:r>
          </w:p>
        </w:tc>
        <w:tc>
          <w:tcPr>
            <w:tcW w:w="2970" w:type="dxa"/>
            <w:noWrap/>
          </w:tcPr>
          <w:p w:rsidR="00B00947" w:rsidRPr="00DD3825" w:rsidRDefault="00B00947" w:rsidP="00B00947">
            <w:r w:rsidRPr="00DD3825">
              <w:t>64.69</w:t>
            </w:r>
          </w:p>
        </w:tc>
      </w:tr>
    </w:tbl>
    <w:p w:rsidR="003F57BD" w:rsidRPr="00DD3825" w:rsidRDefault="003F57BD" w:rsidP="00663A00">
      <w:pPr>
        <w:rPr>
          <w:rFonts w:cs="Arial"/>
          <w:i/>
        </w:rPr>
      </w:pPr>
    </w:p>
    <w:p w:rsidR="001E4C31" w:rsidRPr="00DD3825" w:rsidRDefault="003F57BD" w:rsidP="001E4C31">
      <w:pPr>
        <w:pStyle w:val="Heading1"/>
        <w:rPr>
          <w:i/>
        </w:rPr>
      </w:pPr>
      <w:bookmarkStart w:id="170" w:name="_Toc324318375"/>
      <w:bookmarkStart w:id="171" w:name="_Toc324340504"/>
      <w:bookmarkStart w:id="172" w:name="_Toc386811738"/>
      <w:r w:rsidRPr="00DD3825">
        <w:rPr>
          <w:i/>
        </w:rPr>
        <w:t>4.3.1 Gross Measure Cost</w:t>
      </w:r>
      <w:bookmarkEnd w:id="170"/>
      <w:bookmarkEnd w:id="171"/>
      <w:bookmarkEnd w:id="172"/>
    </w:p>
    <w:p w:rsidR="003F57BD" w:rsidRPr="00DD3825" w:rsidRDefault="003F57BD" w:rsidP="00AB675E">
      <w:r w:rsidRPr="00DD3825">
        <w:t xml:space="preserve">Gross Measure Cost is the cost to install an energy efficient measure per the </w:t>
      </w:r>
      <w:r w:rsidR="00133C60" w:rsidRPr="00DD3825">
        <w:t xml:space="preserve">CPUC calculators. </w:t>
      </w:r>
      <w:r w:rsidRPr="00DD3825">
        <w:t xml:space="preserve">This definition implies </w:t>
      </w:r>
      <w:r w:rsidR="00133C60" w:rsidRPr="00DD3825">
        <w:t xml:space="preserve">a </w:t>
      </w:r>
      <w:r w:rsidRPr="00DD3825">
        <w:t xml:space="preserve">different meaning depending on the </w:t>
      </w:r>
      <w:r w:rsidR="003541A6" w:rsidRPr="00DD3825">
        <w:t>Measure Application</w:t>
      </w:r>
      <w:r w:rsidRPr="00DD3825">
        <w:t xml:space="preserve"> type.</w:t>
      </w:r>
      <w:r w:rsidR="00437BE1" w:rsidRPr="00DD3825">
        <w:t xml:space="preserve"> </w:t>
      </w:r>
    </w:p>
    <w:p w:rsidR="00F32479" w:rsidRPr="00DD3825" w:rsidRDefault="00F32479" w:rsidP="00AB675E"/>
    <w:p w:rsidR="003F57BD" w:rsidRPr="00DD3825" w:rsidRDefault="00EB7F72" w:rsidP="00AB675E">
      <w:r w:rsidRPr="00DD3825">
        <w:t xml:space="preserve">This measure </w:t>
      </w:r>
      <w:r w:rsidR="002E6162" w:rsidRPr="00DD3825">
        <w:t>Measure Application Type</w:t>
      </w:r>
      <w:r w:rsidRPr="00DD3825">
        <w:t xml:space="preserve"> is </w:t>
      </w:r>
      <w:r w:rsidRPr="00DD3825">
        <w:rPr>
          <w:b/>
        </w:rPr>
        <w:t>ER</w:t>
      </w:r>
      <w:r w:rsidR="00133C60" w:rsidRPr="00DD3825">
        <w:rPr>
          <w:b/>
        </w:rPr>
        <w:t xml:space="preserve"> </w:t>
      </w:r>
      <w:r w:rsidR="00133C60" w:rsidRPr="00DD3825">
        <w:t>for the First</w:t>
      </w:r>
      <w:r w:rsidR="003F57BD" w:rsidRPr="00DD3825">
        <w:t xml:space="preserve"> baseline period only</w:t>
      </w:r>
      <w:r w:rsidR="00133C60" w:rsidRPr="00DD3825">
        <w:t xml:space="preserve"> (RUL)</w:t>
      </w:r>
      <w:r w:rsidR="003F57BD" w:rsidRPr="00DD3825">
        <w:t xml:space="preserve">, </w:t>
      </w:r>
      <w:r w:rsidRPr="00DD3825">
        <w:t xml:space="preserve">so the </w:t>
      </w:r>
      <w:r w:rsidR="003F57BD" w:rsidRPr="00DD3825">
        <w:t>G</w:t>
      </w:r>
      <w:r w:rsidRPr="00DD3825">
        <w:t xml:space="preserve">ross Measure Cost (GMC) </w:t>
      </w:r>
      <w:r w:rsidR="003F57BD" w:rsidRPr="00DD3825">
        <w:t>is represented by the equation below:</w:t>
      </w:r>
    </w:p>
    <w:p w:rsidR="003F57BD" w:rsidRPr="00DD3825" w:rsidRDefault="003F57BD" w:rsidP="003F57BD">
      <w:pPr>
        <w:rPr>
          <w:rFonts w:cs="Arial"/>
          <w:sz w:val="20"/>
          <w:szCs w:val="20"/>
        </w:rPr>
      </w:pPr>
    </w:p>
    <w:p w:rsidR="003F57BD" w:rsidRPr="00DD3825" w:rsidRDefault="003F57BD" w:rsidP="003F57BD">
      <w:pPr>
        <w:ind w:firstLine="720"/>
        <w:rPr>
          <w:rFonts w:cs="Arial"/>
          <w:sz w:val="20"/>
          <w:szCs w:val="20"/>
        </w:rPr>
      </w:pPr>
      <w:r w:rsidRPr="00DD3825">
        <w:rPr>
          <w:rFonts w:cs="Arial"/>
          <w:sz w:val="20"/>
          <w:szCs w:val="20"/>
        </w:rPr>
        <w:t>GMC = Measure Equipment Cost + Measure Labor Cost</w:t>
      </w:r>
    </w:p>
    <w:p w:rsidR="00EB7F72" w:rsidRPr="00DD3825" w:rsidRDefault="00EB7F72" w:rsidP="003F57BD">
      <w:pPr>
        <w:ind w:firstLine="720"/>
        <w:rPr>
          <w:rFonts w:cs="Arial"/>
          <w:i/>
          <w:sz w:val="20"/>
          <w:szCs w:val="20"/>
        </w:rPr>
      </w:pPr>
    </w:p>
    <w:p w:rsidR="00EB7F72" w:rsidRPr="00DD3825" w:rsidRDefault="00EB7F72" w:rsidP="003F57BD">
      <w:pPr>
        <w:ind w:firstLine="720"/>
        <w:rPr>
          <w:rFonts w:cs="Arial"/>
          <w:i/>
          <w:sz w:val="20"/>
          <w:szCs w:val="20"/>
        </w:rPr>
      </w:pPr>
      <w:r w:rsidRPr="00DD3825">
        <w:rPr>
          <w:rFonts w:cs="Arial"/>
          <w:i/>
          <w:sz w:val="20"/>
          <w:szCs w:val="20"/>
        </w:rPr>
        <w:t>GMC = $               per (unit) + $             per (unit) =  $               per(unit</w:t>
      </w:r>
      <w:r w:rsidR="00133C60" w:rsidRPr="00DD3825">
        <w:rPr>
          <w:rFonts w:cs="Arial"/>
          <w:i/>
          <w:sz w:val="20"/>
          <w:szCs w:val="20"/>
        </w:rPr>
        <w:t>)</w:t>
      </w:r>
    </w:p>
    <w:p w:rsidR="003F57BD" w:rsidRPr="00DD3825" w:rsidRDefault="003F57BD" w:rsidP="003F57BD">
      <w:pPr>
        <w:rPr>
          <w:rFonts w:cs="Arial"/>
          <w:b/>
          <w:sz w:val="20"/>
          <w:szCs w:val="20"/>
        </w:rPr>
      </w:pPr>
    </w:p>
    <w:p w:rsidR="00D51A9B" w:rsidRPr="00DD3825" w:rsidRDefault="00D51A9B" w:rsidP="00133C60">
      <w:pPr>
        <w:rPr>
          <w:rFonts w:cs="Arial"/>
          <w:sz w:val="20"/>
          <w:szCs w:val="20"/>
        </w:rPr>
      </w:pPr>
    </w:p>
    <w:p w:rsidR="00133C60" w:rsidRPr="00DD3825" w:rsidRDefault="00133C60" w:rsidP="00AB675E">
      <w:r w:rsidRPr="00DD3825">
        <w:t xml:space="preserve">For </w:t>
      </w:r>
      <w:r w:rsidRPr="00DD3825">
        <w:rPr>
          <w:b/>
        </w:rPr>
        <w:t xml:space="preserve">ER </w:t>
      </w:r>
      <w:r w:rsidRPr="00DD3825">
        <w:t>in the second baseline period (EUL – RUL) period, GMC is represented by the equation below:</w:t>
      </w:r>
    </w:p>
    <w:p w:rsidR="00133C60" w:rsidRPr="00DD3825" w:rsidRDefault="00133C60" w:rsidP="00133C60">
      <w:pPr>
        <w:ind w:firstLine="720"/>
        <w:rPr>
          <w:rFonts w:cs="Arial"/>
          <w:i/>
          <w:sz w:val="20"/>
          <w:szCs w:val="20"/>
        </w:rPr>
      </w:pPr>
    </w:p>
    <w:p w:rsidR="00133C60" w:rsidRPr="00DD3825" w:rsidRDefault="00133C60" w:rsidP="00133C60">
      <w:pPr>
        <w:ind w:firstLine="720"/>
        <w:rPr>
          <w:rFonts w:cs="Arial"/>
          <w:sz w:val="20"/>
          <w:szCs w:val="20"/>
        </w:rPr>
      </w:pPr>
      <w:r w:rsidRPr="00DD3825">
        <w:rPr>
          <w:rFonts w:cs="Arial"/>
          <w:sz w:val="20"/>
          <w:szCs w:val="20"/>
        </w:rPr>
        <w:t>GMC = (-1) x (Base Equipment Cost + Base Labor Cost)</w:t>
      </w:r>
    </w:p>
    <w:p w:rsidR="00133C60" w:rsidRPr="00DD3825" w:rsidRDefault="00133C60" w:rsidP="00133C60">
      <w:pPr>
        <w:ind w:firstLine="720"/>
        <w:rPr>
          <w:rFonts w:cs="Arial"/>
          <w:sz w:val="20"/>
          <w:szCs w:val="20"/>
        </w:rPr>
      </w:pPr>
    </w:p>
    <w:p w:rsidR="00133C60" w:rsidRPr="00DD3825" w:rsidRDefault="00133C60" w:rsidP="00133C60">
      <w:pPr>
        <w:ind w:firstLine="720"/>
        <w:rPr>
          <w:rFonts w:cs="Arial"/>
          <w:i/>
          <w:sz w:val="20"/>
          <w:szCs w:val="20"/>
        </w:rPr>
      </w:pPr>
      <w:r w:rsidRPr="00DD3825">
        <w:rPr>
          <w:rFonts w:cs="Arial"/>
          <w:i/>
          <w:sz w:val="20"/>
          <w:szCs w:val="20"/>
        </w:rPr>
        <w:t>GMC = (-1) x ($                  per (unit)  + $           per (unit)</w:t>
      </w:r>
      <w:r w:rsidR="00D51A9B" w:rsidRPr="00DD3825">
        <w:rPr>
          <w:rFonts w:cs="Arial"/>
          <w:i/>
          <w:sz w:val="20"/>
          <w:szCs w:val="20"/>
        </w:rPr>
        <w:t>)</w:t>
      </w:r>
      <w:r w:rsidRPr="00DD3825">
        <w:rPr>
          <w:rFonts w:cs="Arial"/>
          <w:i/>
          <w:sz w:val="20"/>
          <w:szCs w:val="20"/>
        </w:rPr>
        <w:t xml:space="preserve"> = $           </w:t>
      </w:r>
      <w:r w:rsidR="00D51A9B" w:rsidRPr="00DD3825">
        <w:rPr>
          <w:rFonts w:cs="Arial"/>
          <w:i/>
          <w:sz w:val="20"/>
          <w:szCs w:val="20"/>
        </w:rPr>
        <w:t xml:space="preserve">      </w:t>
      </w:r>
      <w:r w:rsidRPr="00DD3825">
        <w:rPr>
          <w:rFonts w:cs="Arial"/>
          <w:i/>
          <w:sz w:val="20"/>
          <w:szCs w:val="20"/>
        </w:rPr>
        <w:t xml:space="preserve">per (unit)  $                           </w:t>
      </w:r>
    </w:p>
    <w:p w:rsidR="00EB7F72" w:rsidRPr="00DD3825" w:rsidRDefault="00EB7F72" w:rsidP="003F57BD">
      <w:pPr>
        <w:rPr>
          <w:rFonts w:cs="Arial"/>
          <w:b/>
          <w:sz w:val="20"/>
          <w:szCs w:val="20"/>
        </w:rPr>
      </w:pPr>
    </w:p>
    <w:p w:rsidR="003F57BD" w:rsidRPr="00DD3825" w:rsidRDefault="003F57BD" w:rsidP="003F57BD">
      <w:pPr>
        <w:rPr>
          <w:rFonts w:cs="Arial"/>
          <w:sz w:val="20"/>
          <w:szCs w:val="20"/>
        </w:rPr>
      </w:pPr>
    </w:p>
    <w:p w:rsidR="003F57BD" w:rsidRPr="00DD3825" w:rsidRDefault="003F57BD" w:rsidP="00AB675E">
      <w:pPr>
        <w:rPr>
          <w:i/>
          <w:szCs w:val="22"/>
        </w:rPr>
      </w:pPr>
      <w:r w:rsidRPr="00DD3825">
        <w:lastRenderedPageBreak/>
        <w:t>*Note: Various complicated price fluctuations are not addressed in these equations, such as future costs due to inflation in labor, future costs due to deflation in material cost, and other variables that cannot be accurately described at this time.</w:t>
      </w:r>
    </w:p>
    <w:p w:rsidR="003F57BD" w:rsidRPr="00DD3825" w:rsidRDefault="003F57BD" w:rsidP="00AB675E">
      <w:pPr>
        <w:rPr>
          <w:i/>
        </w:rPr>
      </w:pPr>
    </w:p>
    <w:p w:rsidR="00A47BFE" w:rsidRPr="00DD3825" w:rsidRDefault="001E4C31" w:rsidP="001E4C31">
      <w:pPr>
        <w:pStyle w:val="Heading1"/>
        <w:rPr>
          <w:i/>
        </w:rPr>
      </w:pPr>
      <w:bookmarkStart w:id="173" w:name="_Toc324318376"/>
      <w:bookmarkStart w:id="174" w:name="_Toc324340505"/>
      <w:bookmarkStart w:id="175" w:name="_Toc386811739"/>
      <w:bookmarkStart w:id="176" w:name="_Toc304800221"/>
      <w:r w:rsidRPr="00DD3825">
        <w:rPr>
          <w:i/>
        </w:rPr>
        <w:t xml:space="preserve">4.3.2 </w:t>
      </w:r>
      <w:r w:rsidR="00A47BFE" w:rsidRPr="00DD3825">
        <w:rPr>
          <w:i/>
        </w:rPr>
        <w:t>Incremental Measure Costs</w:t>
      </w:r>
      <w:bookmarkEnd w:id="173"/>
      <w:bookmarkEnd w:id="174"/>
      <w:bookmarkEnd w:id="175"/>
    </w:p>
    <w:p w:rsidR="00ED3B31" w:rsidRPr="00DD3825" w:rsidRDefault="00ED3B31" w:rsidP="00AB675E">
      <w:r w:rsidRPr="00DD3825">
        <w:t>Incremental Measure Cost is the premium cost to install an energy efficient measure over a standard efficiency measure or code baseline measure.</w:t>
      </w:r>
      <w:r w:rsidR="00437BE1" w:rsidRPr="00DD3825">
        <w:t xml:space="preserve"> </w:t>
      </w:r>
      <w:r w:rsidRPr="00DD3825">
        <w:t>While IMC</w:t>
      </w:r>
      <w:r w:rsidR="00192B77" w:rsidRPr="00DD3825">
        <w:t xml:space="preserve"> has a straight</w:t>
      </w:r>
      <w:r w:rsidRPr="00DD3825">
        <w:t xml:space="preserve">forward definition depending on the </w:t>
      </w:r>
      <w:r w:rsidR="00E4302B" w:rsidRPr="00DD3825">
        <w:t>Measure Application</w:t>
      </w:r>
      <w:r w:rsidRPr="00DD3825">
        <w:t xml:space="preserve"> type, the equation does vary.</w:t>
      </w:r>
      <w:r w:rsidR="00437BE1" w:rsidRPr="00DD3825">
        <w:t xml:space="preserve"> </w:t>
      </w:r>
    </w:p>
    <w:p w:rsidR="00ED3B31" w:rsidRPr="00DD3825" w:rsidRDefault="00ED3B31" w:rsidP="00AB675E"/>
    <w:p w:rsidR="00ED3B31" w:rsidRPr="00DD3825" w:rsidRDefault="00ED3B31" w:rsidP="00AB675E">
      <w:r w:rsidRPr="00DD3825">
        <w:t xml:space="preserve">This </w:t>
      </w:r>
      <w:r w:rsidR="002E6162" w:rsidRPr="00DD3825">
        <w:t>Measure Application Types</w:t>
      </w:r>
      <w:r w:rsidRPr="00DD3825">
        <w:t xml:space="preserve"> is </w:t>
      </w:r>
      <w:r w:rsidR="00587DDD" w:rsidRPr="00DD3825">
        <w:rPr>
          <w:b/>
        </w:rPr>
        <w:t>ER.</w:t>
      </w:r>
      <w:r w:rsidRPr="00DD3825">
        <w:rPr>
          <w:b/>
        </w:rPr>
        <w:t xml:space="preserve"> </w:t>
      </w:r>
      <w:r w:rsidR="00587DDD" w:rsidRPr="00DD3825">
        <w:t xml:space="preserve">There is no base case to which to compare the measure, so the Incremental Measure Cost (IMC) </w:t>
      </w:r>
      <w:r w:rsidRPr="00DD3825">
        <w:t xml:space="preserve">is represented by the equation </w:t>
      </w:r>
      <w:r w:rsidR="00587DDD" w:rsidRPr="00DD3825">
        <w:t>below</w:t>
      </w:r>
      <w:r w:rsidRPr="00DD3825">
        <w:t>:</w:t>
      </w:r>
    </w:p>
    <w:p w:rsidR="00ED3B31" w:rsidRPr="00DD3825" w:rsidRDefault="00ED3B31" w:rsidP="00AB675E">
      <w:pPr>
        <w:rPr>
          <w:szCs w:val="22"/>
        </w:rPr>
      </w:pPr>
    </w:p>
    <w:p w:rsidR="00ED3B31" w:rsidRPr="00DD3825" w:rsidRDefault="00ED3B31" w:rsidP="00ED3B31">
      <w:pPr>
        <w:ind w:firstLine="720"/>
        <w:rPr>
          <w:rFonts w:cs="Arial"/>
          <w:sz w:val="20"/>
          <w:szCs w:val="20"/>
        </w:rPr>
      </w:pPr>
      <w:r w:rsidRPr="00DD3825">
        <w:rPr>
          <w:rFonts w:cs="Arial"/>
          <w:sz w:val="20"/>
          <w:szCs w:val="20"/>
        </w:rPr>
        <w:t>IMC = Measure Equipment Cost + Measure Labor Cost</w:t>
      </w:r>
    </w:p>
    <w:p w:rsidR="00ED3B31" w:rsidRPr="00DD3825" w:rsidRDefault="00ED3B31" w:rsidP="00ED3B31">
      <w:pPr>
        <w:ind w:firstLine="720"/>
        <w:rPr>
          <w:rFonts w:cs="Arial"/>
          <w:sz w:val="20"/>
          <w:szCs w:val="20"/>
        </w:rPr>
      </w:pPr>
    </w:p>
    <w:p w:rsidR="00ED3B31" w:rsidRPr="00DD3825" w:rsidRDefault="00ED3B31" w:rsidP="00ED3B31">
      <w:pPr>
        <w:ind w:firstLine="720"/>
        <w:rPr>
          <w:rFonts w:cs="Arial"/>
          <w:sz w:val="20"/>
          <w:szCs w:val="20"/>
        </w:rPr>
      </w:pPr>
    </w:p>
    <w:p w:rsidR="00ED3B31" w:rsidRPr="00DD3825" w:rsidRDefault="00ED3B31" w:rsidP="00ED3B31">
      <w:pPr>
        <w:ind w:firstLine="720"/>
        <w:rPr>
          <w:rFonts w:cs="Arial"/>
          <w:i/>
          <w:sz w:val="20"/>
          <w:szCs w:val="20"/>
        </w:rPr>
      </w:pPr>
      <w:r w:rsidRPr="00DD3825">
        <w:rPr>
          <w:rFonts w:cs="Arial"/>
          <w:i/>
          <w:sz w:val="20"/>
          <w:szCs w:val="20"/>
        </w:rPr>
        <w:t>IMC = $                         per (unit)+ $                       per (unit) = $                         per (unit)</w:t>
      </w:r>
    </w:p>
    <w:p w:rsidR="002F3610" w:rsidRPr="00DD3825" w:rsidRDefault="002F3610" w:rsidP="00ED3B31">
      <w:pPr>
        <w:ind w:firstLine="720"/>
        <w:rPr>
          <w:rFonts w:cs="Arial"/>
          <w:i/>
          <w:sz w:val="20"/>
          <w:szCs w:val="20"/>
        </w:rPr>
      </w:pPr>
    </w:p>
    <w:p w:rsidR="002F3610" w:rsidRPr="00DD3825" w:rsidRDefault="002F3610" w:rsidP="00ED3B31">
      <w:pPr>
        <w:ind w:firstLine="720"/>
        <w:rPr>
          <w:rFonts w:cs="Arial"/>
          <w:i/>
          <w:sz w:val="20"/>
          <w:szCs w:val="20"/>
        </w:rPr>
      </w:pPr>
    </w:p>
    <w:p w:rsidR="002F3610" w:rsidRPr="00DD3825" w:rsidRDefault="002F3610" w:rsidP="002F3610">
      <w:pPr>
        <w:ind w:firstLine="720"/>
        <w:jc w:val="center"/>
        <w:rPr>
          <w:rFonts w:cs="Arial"/>
          <w:b/>
          <w:sz w:val="20"/>
          <w:szCs w:val="20"/>
        </w:rPr>
      </w:pPr>
    </w:p>
    <w:p w:rsidR="00167C3B" w:rsidRPr="00DD3825" w:rsidRDefault="00167C3B" w:rsidP="00167C3B">
      <w:pPr>
        <w:pStyle w:val="Caption"/>
        <w:keepNext/>
        <w:jc w:val="center"/>
      </w:pPr>
      <w:bookmarkStart w:id="177" w:name="_Toc386811761"/>
      <w:r w:rsidRPr="00DD3825">
        <w:t xml:space="preserve">Table </w:t>
      </w:r>
      <w:r w:rsidR="00FF41C5">
        <w:fldChar w:fldCharType="begin"/>
      </w:r>
      <w:r w:rsidR="00FF41C5">
        <w:instrText xml:space="preserve"> SEQ Table \* ARABIC </w:instrText>
      </w:r>
      <w:r w:rsidR="00FF41C5">
        <w:fldChar w:fldCharType="separate"/>
      </w:r>
      <w:r w:rsidR="00B424F3">
        <w:rPr>
          <w:noProof/>
        </w:rPr>
        <w:t>21</w:t>
      </w:r>
      <w:r w:rsidR="00FF41C5">
        <w:rPr>
          <w:noProof/>
        </w:rPr>
        <w:fldChar w:fldCharType="end"/>
      </w:r>
      <w:r w:rsidRPr="00DD3825">
        <w:t xml:space="preserve"> Summary Table for Section 4</w:t>
      </w:r>
      <w:bookmarkEnd w:id="177"/>
    </w:p>
    <w:tbl>
      <w:tblPr>
        <w:tblStyle w:val="PGEWorkPaper"/>
        <w:tblW w:w="5000" w:type="pct"/>
        <w:tblLook w:val="00A0" w:firstRow="1" w:lastRow="0" w:firstColumn="1" w:lastColumn="0" w:noHBand="0" w:noVBand="0"/>
      </w:tblPr>
      <w:tblGrid>
        <w:gridCol w:w="1421"/>
        <w:gridCol w:w="1823"/>
        <w:gridCol w:w="1574"/>
        <w:gridCol w:w="1565"/>
        <w:gridCol w:w="1383"/>
        <w:gridCol w:w="1810"/>
      </w:tblGrid>
      <w:tr w:rsidR="002F3610" w:rsidRPr="00DD3825" w:rsidTr="00167C3B">
        <w:trPr>
          <w:cnfStyle w:val="100000000000" w:firstRow="1" w:lastRow="0" w:firstColumn="0" w:lastColumn="0" w:oddVBand="0" w:evenVBand="0" w:oddHBand="0" w:evenHBand="0" w:firstRowFirstColumn="0" w:firstRowLastColumn="0" w:lastRowFirstColumn="0" w:lastRowLastColumn="0"/>
        </w:trPr>
        <w:tc>
          <w:tcPr>
            <w:tcW w:w="742" w:type="pct"/>
          </w:tcPr>
          <w:p w:rsidR="002F3610" w:rsidRPr="00DD3825" w:rsidRDefault="002F3610" w:rsidP="00167C3B">
            <w:pPr>
              <w:rPr>
                <w:color w:val="auto"/>
              </w:rPr>
            </w:pPr>
            <w:r w:rsidRPr="00DD3825">
              <w:rPr>
                <w:color w:val="auto"/>
              </w:rPr>
              <w:t>Measure ID</w:t>
            </w:r>
          </w:p>
        </w:tc>
        <w:tc>
          <w:tcPr>
            <w:tcW w:w="952" w:type="pct"/>
          </w:tcPr>
          <w:p w:rsidR="002F3610" w:rsidRPr="00DD3825" w:rsidRDefault="002E6162" w:rsidP="00167C3B">
            <w:pPr>
              <w:rPr>
                <w:color w:val="auto"/>
              </w:rPr>
            </w:pPr>
            <w:r w:rsidRPr="00DD3825">
              <w:rPr>
                <w:color w:val="auto"/>
              </w:rPr>
              <w:t>Measure Application Types</w:t>
            </w:r>
          </w:p>
        </w:tc>
        <w:tc>
          <w:tcPr>
            <w:tcW w:w="822" w:type="pct"/>
          </w:tcPr>
          <w:p w:rsidR="002F3610" w:rsidRPr="00DD3825" w:rsidRDefault="002F3610" w:rsidP="00167C3B">
            <w:pPr>
              <w:rPr>
                <w:color w:val="auto"/>
              </w:rPr>
            </w:pPr>
            <w:r w:rsidRPr="00DD3825">
              <w:rPr>
                <w:color w:val="auto"/>
              </w:rPr>
              <w:t>Base Case Total Cost</w:t>
            </w:r>
            <w:r w:rsidR="00167C3B" w:rsidRPr="00DD3825">
              <w:rPr>
                <w:color w:val="auto"/>
              </w:rPr>
              <w:t xml:space="preserve"> ($)</w:t>
            </w:r>
          </w:p>
        </w:tc>
        <w:tc>
          <w:tcPr>
            <w:tcW w:w="817" w:type="pct"/>
          </w:tcPr>
          <w:p w:rsidR="002F3610" w:rsidRPr="00DD3825" w:rsidRDefault="002F3610" w:rsidP="00167C3B">
            <w:pPr>
              <w:rPr>
                <w:color w:val="auto"/>
              </w:rPr>
            </w:pPr>
            <w:r w:rsidRPr="00DD3825">
              <w:rPr>
                <w:color w:val="auto"/>
              </w:rPr>
              <w:t>Measure Case Total Cost</w:t>
            </w:r>
            <w:r w:rsidR="009B1863" w:rsidRPr="00DD3825">
              <w:rPr>
                <w:rStyle w:val="EndnoteReference"/>
                <w:rFonts w:cs="Arial"/>
                <w:b w:val="0"/>
                <w:color w:val="auto"/>
                <w:sz w:val="20"/>
                <w:szCs w:val="20"/>
              </w:rPr>
              <w:endnoteReference w:id="13"/>
            </w:r>
            <w:r w:rsidR="00167C3B" w:rsidRPr="00DD3825">
              <w:rPr>
                <w:color w:val="auto"/>
              </w:rPr>
              <w:t xml:space="preserve"> ($)</w:t>
            </w:r>
          </w:p>
        </w:tc>
        <w:tc>
          <w:tcPr>
            <w:tcW w:w="722" w:type="pct"/>
          </w:tcPr>
          <w:p w:rsidR="002F3610" w:rsidRPr="00DD3825" w:rsidRDefault="002F3610" w:rsidP="00167C3B">
            <w:pPr>
              <w:rPr>
                <w:color w:val="auto"/>
              </w:rPr>
            </w:pPr>
            <w:r w:rsidRPr="00DD3825">
              <w:rPr>
                <w:color w:val="auto"/>
              </w:rPr>
              <w:t>Gross Measure Case Cost</w:t>
            </w:r>
            <w:r w:rsidR="00167C3B" w:rsidRPr="00DD3825">
              <w:rPr>
                <w:color w:val="auto"/>
              </w:rPr>
              <w:t xml:space="preserve"> ($)</w:t>
            </w:r>
          </w:p>
        </w:tc>
        <w:tc>
          <w:tcPr>
            <w:tcW w:w="945" w:type="pct"/>
          </w:tcPr>
          <w:p w:rsidR="002F3610" w:rsidRPr="00DD3825" w:rsidRDefault="002F3610" w:rsidP="00167C3B">
            <w:pPr>
              <w:rPr>
                <w:color w:val="auto"/>
              </w:rPr>
            </w:pPr>
            <w:r w:rsidRPr="00DD3825">
              <w:rPr>
                <w:color w:val="auto"/>
              </w:rPr>
              <w:t>Incremental Measure Cost</w:t>
            </w:r>
            <w:r w:rsidR="00167C3B" w:rsidRPr="00DD3825">
              <w:rPr>
                <w:color w:val="auto"/>
              </w:rPr>
              <w:t xml:space="preserve"> ($)</w:t>
            </w:r>
          </w:p>
        </w:tc>
      </w:tr>
      <w:tr w:rsidR="000E2060" w:rsidRPr="00DD3825" w:rsidTr="00167C3B">
        <w:trPr>
          <w:cnfStyle w:val="000000100000" w:firstRow="0" w:lastRow="0" w:firstColumn="0" w:lastColumn="0" w:oddVBand="0" w:evenVBand="0" w:oddHBand="1" w:evenHBand="0" w:firstRowFirstColumn="0" w:firstRowLastColumn="0" w:lastRowFirstColumn="0" w:lastRowLastColumn="0"/>
        </w:trPr>
        <w:tc>
          <w:tcPr>
            <w:tcW w:w="742" w:type="pct"/>
          </w:tcPr>
          <w:p w:rsidR="000E2060" w:rsidRPr="00DD3825" w:rsidRDefault="000E2060" w:rsidP="00710BAA">
            <w:pPr>
              <w:jc w:val="left"/>
            </w:pPr>
            <w:r>
              <w:rPr>
                <w:sz w:val="20"/>
              </w:rPr>
              <w:t>HV026, HV028, HV030</w:t>
            </w:r>
          </w:p>
        </w:tc>
        <w:tc>
          <w:tcPr>
            <w:tcW w:w="952" w:type="pct"/>
          </w:tcPr>
          <w:p w:rsidR="000E2060" w:rsidRPr="00DD3825" w:rsidRDefault="000E2060" w:rsidP="00710BAA">
            <w:r>
              <w:t>REA</w:t>
            </w:r>
          </w:p>
        </w:tc>
        <w:tc>
          <w:tcPr>
            <w:tcW w:w="822" w:type="pct"/>
          </w:tcPr>
          <w:p w:rsidR="000E2060" w:rsidRPr="00DD3825" w:rsidRDefault="000E2060" w:rsidP="00167C3B">
            <w:r w:rsidRPr="00DD3825">
              <w:t>0</w:t>
            </w:r>
          </w:p>
        </w:tc>
        <w:tc>
          <w:tcPr>
            <w:tcW w:w="817" w:type="pct"/>
          </w:tcPr>
          <w:p w:rsidR="000E2060" w:rsidRPr="00DD3825" w:rsidRDefault="000E2060" w:rsidP="00167C3B">
            <w:r w:rsidRPr="00DD3825">
              <w:t>162.05</w:t>
            </w:r>
          </w:p>
        </w:tc>
        <w:tc>
          <w:tcPr>
            <w:tcW w:w="722" w:type="pct"/>
          </w:tcPr>
          <w:p w:rsidR="000E2060" w:rsidRPr="00DD3825" w:rsidRDefault="000E2060" w:rsidP="00167C3B">
            <w:r w:rsidRPr="00DD3825">
              <w:t>162.05</w:t>
            </w:r>
          </w:p>
        </w:tc>
        <w:tc>
          <w:tcPr>
            <w:tcW w:w="945" w:type="pct"/>
          </w:tcPr>
          <w:p w:rsidR="000E2060" w:rsidRPr="00DD3825" w:rsidRDefault="000E2060" w:rsidP="00167C3B">
            <w:r w:rsidRPr="00DD3825">
              <w:t>162.05</w:t>
            </w:r>
          </w:p>
        </w:tc>
      </w:tr>
      <w:tr w:rsidR="000E2060" w:rsidRPr="00DD3825" w:rsidTr="00167C3B">
        <w:trPr>
          <w:cnfStyle w:val="000000010000" w:firstRow="0" w:lastRow="0" w:firstColumn="0" w:lastColumn="0" w:oddVBand="0" w:evenVBand="0" w:oddHBand="0" w:evenHBand="1" w:firstRowFirstColumn="0" w:firstRowLastColumn="0" w:lastRowFirstColumn="0" w:lastRowLastColumn="0"/>
        </w:trPr>
        <w:tc>
          <w:tcPr>
            <w:tcW w:w="742" w:type="pct"/>
          </w:tcPr>
          <w:p w:rsidR="000E2060" w:rsidRPr="00DD3825" w:rsidRDefault="000E2060" w:rsidP="00710BAA">
            <w:pPr>
              <w:jc w:val="left"/>
            </w:pPr>
            <w:r>
              <w:rPr>
                <w:sz w:val="20"/>
              </w:rPr>
              <w:t>HV027, HV029, HV031</w:t>
            </w:r>
          </w:p>
        </w:tc>
        <w:tc>
          <w:tcPr>
            <w:tcW w:w="952" w:type="pct"/>
          </w:tcPr>
          <w:p w:rsidR="000E2060" w:rsidRPr="00DD3825" w:rsidRDefault="000E2060" w:rsidP="00710BAA">
            <w:r>
              <w:t>REA</w:t>
            </w:r>
          </w:p>
        </w:tc>
        <w:tc>
          <w:tcPr>
            <w:tcW w:w="822" w:type="pct"/>
          </w:tcPr>
          <w:p w:rsidR="000E2060" w:rsidRPr="00DD3825" w:rsidRDefault="000E2060" w:rsidP="00167C3B">
            <w:r w:rsidRPr="00DD3825">
              <w:t>0</w:t>
            </w:r>
          </w:p>
        </w:tc>
        <w:tc>
          <w:tcPr>
            <w:tcW w:w="817" w:type="pct"/>
          </w:tcPr>
          <w:p w:rsidR="000E2060" w:rsidRPr="00DD3825" w:rsidRDefault="000E2060" w:rsidP="00167C3B">
            <w:r w:rsidRPr="00DD3825">
              <w:t>64.69</w:t>
            </w:r>
          </w:p>
        </w:tc>
        <w:tc>
          <w:tcPr>
            <w:tcW w:w="722" w:type="pct"/>
          </w:tcPr>
          <w:p w:rsidR="000E2060" w:rsidRPr="00DD3825" w:rsidRDefault="000E2060" w:rsidP="00167C3B">
            <w:r w:rsidRPr="00DD3825">
              <w:t>64.69</w:t>
            </w:r>
          </w:p>
        </w:tc>
        <w:tc>
          <w:tcPr>
            <w:tcW w:w="945" w:type="pct"/>
          </w:tcPr>
          <w:p w:rsidR="000E2060" w:rsidRPr="00DD3825" w:rsidRDefault="000E2060" w:rsidP="00167C3B">
            <w:r w:rsidRPr="00DD3825">
              <w:t>64.69</w:t>
            </w:r>
          </w:p>
        </w:tc>
      </w:tr>
    </w:tbl>
    <w:p w:rsidR="002F3610" w:rsidRPr="00DD3825" w:rsidRDefault="002F3610" w:rsidP="002F3610">
      <w:pPr>
        <w:ind w:firstLine="720"/>
        <w:rPr>
          <w:rFonts w:cs="Arial"/>
          <w:b/>
          <w:sz w:val="20"/>
          <w:szCs w:val="20"/>
        </w:rPr>
      </w:pPr>
    </w:p>
    <w:p w:rsidR="00F52572" w:rsidRPr="00DD3825" w:rsidRDefault="00915CE6" w:rsidP="00003223">
      <w:pPr>
        <w:pStyle w:val="Heading1"/>
      </w:pPr>
      <w:bookmarkStart w:id="181" w:name="_MON_1382719630"/>
      <w:bookmarkStart w:id="182" w:name="_Toc324340506"/>
      <w:bookmarkStart w:id="183" w:name="_Toc324318377"/>
      <w:bookmarkStart w:id="184" w:name="_Toc324340404"/>
      <w:bookmarkEnd w:id="181"/>
      <w:r w:rsidRPr="00DD3825">
        <w:br w:type="page"/>
      </w:r>
      <w:bookmarkEnd w:id="176"/>
      <w:bookmarkEnd w:id="182"/>
      <w:bookmarkEnd w:id="183"/>
      <w:bookmarkEnd w:id="184"/>
    </w:p>
    <w:p w:rsidR="00315AB7" w:rsidRPr="00DD3825" w:rsidRDefault="00315AB7" w:rsidP="000966CC">
      <w:pPr>
        <w:pStyle w:val="Heading1"/>
        <w:rPr>
          <w:rStyle w:val="Strong"/>
          <w:sz w:val="32"/>
        </w:rPr>
        <w:sectPr w:rsidR="00315AB7" w:rsidRPr="00DD3825" w:rsidSect="007002F0">
          <w:endnotePr>
            <w:numFmt w:val="decimal"/>
          </w:endnotePr>
          <w:pgSz w:w="12240" w:h="15840"/>
          <w:pgMar w:top="1440" w:right="1440" w:bottom="1440" w:left="1440" w:header="720" w:footer="720" w:gutter="0"/>
          <w:pgNumType w:start="1"/>
          <w:cols w:space="720"/>
          <w:docGrid w:linePitch="360"/>
        </w:sectPr>
      </w:pPr>
    </w:p>
    <w:p w:rsidR="006B4563" w:rsidRPr="00DD3825" w:rsidRDefault="000966CC" w:rsidP="000966CC">
      <w:pPr>
        <w:pStyle w:val="Heading1"/>
      </w:pPr>
      <w:bookmarkStart w:id="185" w:name="_Toc324318383"/>
      <w:bookmarkStart w:id="186" w:name="_Toc324340513"/>
      <w:bookmarkStart w:id="187" w:name="_Toc386811740"/>
      <w:bookmarkStart w:id="188" w:name="_Toc304800222"/>
      <w:r w:rsidRPr="00DD3825">
        <w:lastRenderedPageBreak/>
        <w:t>References</w:t>
      </w:r>
      <w:bookmarkEnd w:id="185"/>
      <w:bookmarkEnd w:id="186"/>
      <w:bookmarkEnd w:id="187"/>
      <w:r w:rsidR="00844B27" w:rsidRPr="00DD3825">
        <w:t xml:space="preserve"> </w:t>
      </w:r>
    </w:p>
    <w:bookmarkEnd w:id="188"/>
    <w:p w:rsidR="009D7A24" w:rsidRPr="00DD3825" w:rsidRDefault="009D7A24" w:rsidP="00F55847"/>
    <w:p w:rsidR="00AF1807" w:rsidRPr="00DD3825" w:rsidRDefault="00AF1807" w:rsidP="000966CC">
      <w:pPr>
        <w:rPr>
          <w:b/>
          <w:sz w:val="32"/>
          <w:szCs w:val="32"/>
        </w:rPr>
      </w:pPr>
    </w:p>
    <w:p w:rsidR="00AF1807" w:rsidRPr="00DD3825" w:rsidRDefault="00AF1807" w:rsidP="000966CC"/>
    <w:sectPr w:rsidR="00AF1807" w:rsidRPr="00DD3825" w:rsidSect="007002F0">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988" w:rsidRDefault="008F0988">
      <w:r>
        <w:separator/>
      </w:r>
    </w:p>
    <w:p w:rsidR="008F0988" w:rsidRDefault="008F0988"/>
  </w:endnote>
  <w:endnote w:type="continuationSeparator" w:id="0">
    <w:p w:rsidR="008F0988" w:rsidRDefault="008F0988">
      <w:r>
        <w:continuationSeparator/>
      </w:r>
    </w:p>
    <w:p w:rsidR="008F0988" w:rsidRDefault="008F0988"/>
  </w:endnote>
  <w:endnote w:id="1">
    <w:p w:rsidR="00710BAA" w:rsidRDefault="00710BAA" w:rsidP="00A70B62">
      <w:pPr>
        <w:pStyle w:val="EndnoteText"/>
      </w:pPr>
      <w:r>
        <w:rPr>
          <w:rStyle w:val="EndnoteReference"/>
        </w:rPr>
        <w:endnoteRef/>
      </w:r>
      <w:r>
        <w:t xml:space="preserve"> </w:t>
      </w:r>
      <w:r w:rsidRPr="00BE2DC7">
        <w:t xml:space="preserve">California Energy Commission. </w:t>
      </w:r>
      <w:r w:rsidRPr="00BE2DC7">
        <w:rPr>
          <w:i/>
        </w:rPr>
        <w:t>2013 Building Energy Efficiency Standards for Residential and Nonresidential Buildings (Title 24, Part 6).</w:t>
      </w:r>
      <w:r w:rsidRPr="00BE2DC7">
        <w:t xml:space="preserve"> Sacramento, Calif</w:t>
      </w:r>
      <w:r>
        <w:t>ornia. 2013, November 25</w:t>
      </w:r>
      <w:r w:rsidRPr="00BE2DC7">
        <w:t>.</w:t>
      </w:r>
    </w:p>
  </w:endnote>
  <w:endnote w:id="2">
    <w:p w:rsidR="00710BAA" w:rsidRPr="00EB2494" w:rsidRDefault="00710BAA" w:rsidP="00C85064">
      <w:pPr>
        <w:pStyle w:val="EndnoteText"/>
      </w:pPr>
      <w:r>
        <w:rPr>
          <w:rStyle w:val="EndnoteReference"/>
        </w:rPr>
        <w:endnoteRef/>
      </w:r>
      <w:r>
        <w:t xml:space="preserve"> James J. Hirsch &amp; Associates. (2013, February 11). </w:t>
      </w:r>
      <w:r>
        <w:rPr>
          <w:i/>
        </w:rPr>
        <w:t>DEER 2014 – Codes and Standards update for the 2013-14 Cycle.</w:t>
      </w:r>
      <w:r>
        <w:t xml:space="preserve"> §6.0. Retrieved 4/24/2014 from </w:t>
      </w:r>
      <w:r w:rsidRPr="00EB2494">
        <w:t>http://deeresources.com/files/DEER2013codeUpdate/download/DEER2014UpdateDocumentation_2-12-2014.pdf</w:t>
      </w:r>
    </w:p>
  </w:endnote>
  <w:endnote w:id="3">
    <w:p w:rsidR="00710BAA" w:rsidRDefault="00710BAA">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4">
    <w:p w:rsidR="00710BAA" w:rsidRDefault="00710BAA" w:rsidP="00950136">
      <w:pPr>
        <w:pStyle w:val="EndnoteText"/>
      </w:pPr>
      <w:r>
        <w:rPr>
          <w:rStyle w:val="EndnoteReference"/>
        </w:rPr>
        <w:endnoteRef/>
      </w:r>
      <w:r>
        <w:t xml:space="preserve"> </w:t>
      </w:r>
      <w:r w:rsidRPr="009D5AEC">
        <w:t xml:space="preserve">James J. Hirsch &amp; Associates. (2010, August 25). </w:t>
      </w:r>
      <w:r w:rsidRPr="00E044FE">
        <w:rPr>
          <w:i/>
        </w:rPr>
        <w:t>eQUEST 3.64</w:t>
      </w:r>
      <w:r w:rsidRPr="009D5AEC">
        <w:t>. Retrieved from DOE2.com: http://www.doe2.com/download/equest/eQUEST_3-64_Setup.exe</w:t>
      </w:r>
    </w:p>
  </w:endnote>
  <w:endnote w:id="5">
    <w:p w:rsidR="00710BAA" w:rsidRPr="00EB2494" w:rsidRDefault="00710BAA" w:rsidP="001C78B2">
      <w:pPr>
        <w:pStyle w:val="EndnoteText"/>
      </w:pPr>
      <w:r>
        <w:rPr>
          <w:rStyle w:val="EndnoteReference"/>
        </w:rPr>
        <w:endnoteRef/>
      </w:r>
      <w:r>
        <w:t xml:space="preserve"> James J. Hirsch &amp; Associates. (2013, February 11). </w:t>
      </w:r>
      <w:r>
        <w:rPr>
          <w:i/>
        </w:rPr>
        <w:t>DEER 2014 – Codes and Standards update for the 2013-14 Cycle.</w:t>
      </w:r>
      <w:r>
        <w:t xml:space="preserve"> §6.0. Retrieved 4/24/2014 from </w:t>
      </w:r>
      <w:r w:rsidRPr="00EB2494">
        <w:t>http://deeresources.com/files/DEER2013codeUpdate/download/DEER2014UpdateDocumentation_2-12-2014.pdf</w:t>
      </w:r>
    </w:p>
  </w:endnote>
  <w:endnote w:id="6">
    <w:p w:rsidR="00710BAA" w:rsidRDefault="00710BAA" w:rsidP="00950136">
      <w:pPr>
        <w:pStyle w:val="EndnoteText"/>
      </w:pPr>
      <w:r>
        <w:rPr>
          <w:rStyle w:val="EndnoteReference"/>
        </w:rPr>
        <w:endnoteRef/>
      </w:r>
      <w:r>
        <w:t xml:space="preserve"> </w:t>
      </w:r>
      <w:r w:rsidRPr="00DE2929">
        <w:t xml:space="preserve">James J. Hirsch &amp; Associates. (2013, September 9). </w:t>
      </w:r>
      <w:r w:rsidRPr="00E044FE">
        <w:rPr>
          <w:i/>
        </w:rPr>
        <w:t>MASControl 3.00.19</w:t>
      </w:r>
      <w:r w:rsidRPr="00DE2929">
        <w:t>. R</w:t>
      </w:r>
      <w:r>
        <w:t xml:space="preserve">etrieved from deeresources.com: </w:t>
      </w:r>
      <w:r w:rsidRPr="00DE2929">
        <w:t>http://deeresources.com/files/DEER2013codeUpdate/download/SetupMASControlX32_3_00_19.ms</w:t>
      </w:r>
    </w:p>
  </w:endnote>
  <w:endnote w:id="7">
    <w:p w:rsidR="00710BAA" w:rsidRPr="00EB2494" w:rsidRDefault="00710BAA" w:rsidP="001C78B2">
      <w:pPr>
        <w:pStyle w:val="EndnoteText"/>
      </w:pPr>
      <w:r>
        <w:rPr>
          <w:rStyle w:val="EndnoteReference"/>
        </w:rPr>
        <w:endnoteRef/>
      </w:r>
      <w:r>
        <w:t xml:space="preserve"> White Box Technologies, Inc. </w:t>
      </w:r>
      <w:r>
        <w:rPr>
          <w:i/>
        </w:rPr>
        <w:t xml:space="preserve">CZ2010 Weather Data. </w:t>
      </w:r>
      <w:r>
        <w:t xml:space="preserve">Developed for California Energy Commission. </w:t>
      </w:r>
      <w:r w:rsidRPr="00EB2494">
        <w:t>http://weather.whiteboxtechnologies.com/wd-CZ2010</w:t>
      </w:r>
    </w:p>
  </w:endnote>
  <w:endnote w:id="8">
    <w:p w:rsidR="00710BAA" w:rsidRDefault="00710BAA" w:rsidP="007D3BD3">
      <w:pPr>
        <w:pStyle w:val="EndnoteText"/>
      </w:pPr>
      <w:r>
        <w:rPr>
          <w:rStyle w:val="EndnoteReference"/>
        </w:rPr>
        <w:endnoteRef/>
      </w:r>
      <w:r>
        <w:t xml:space="preserve"> </w:t>
      </w:r>
      <w:r w:rsidRPr="00A71E1C">
        <w:t xml:space="preserve">Lawrence Berkeley National Laboratory; James J. Hirsch &amp; Associates. (2014, February). </w:t>
      </w:r>
      <w:r w:rsidRPr="00E044FE">
        <w:rPr>
          <w:i/>
        </w:rPr>
        <w:t>DOE-2.2 Building Energy Use and Cost Analysis Program</w:t>
      </w:r>
      <w:r>
        <w:rPr>
          <w:i/>
        </w:rPr>
        <w:t xml:space="preserve"> Volume 2: Dictionary</w:t>
      </w:r>
      <w:r w:rsidRPr="00A71E1C">
        <w:t>. Retrieved from DOE2.com: http://doe2.com/download/DOE-22/DOE22Vol2-Dictionary_48r.pdf</w:t>
      </w:r>
    </w:p>
  </w:endnote>
  <w:endnote w:id="9">
    <w:p w:rsidR="00710BAA" w:rsidRDefault="00710BAA" w:rsidP="00C6186E">
      <w:pPr>
        <w:pStyle w:val="EndnoteText"/>
      </w:pPr>
      <w:r>
        <w:rPr>
          <w:rStyle w:val="EndnoteReference"/>
        </w:rPr>
        <w:endnoteRef/>
      </w:r>
      <w:r>
        <w:t xml:space="preserve"> KEMA. </w:t>
      </w:r>
      <w:r w:rsidRPr="000861D8">
        <w:rPr>
          <w:i/>
        </w:rPr>
        <w:t>Impact Evaluation Research Plan, WO032—Residential and Small Commercial HVAC</w:t>
      </w:r>
      <w:r>
        <w:t>. Oakland, CA. (April 2012) Retrieved 4/24/2014 from http://www.energydataweb.com/cpucFiles/93/WO032HVACResearchPlan_2.pdf</w:t>
      </w:r>
    </w:p>
  </w:endnote>
  <w:endnote w:id="10">
    <w:p w:rsidR="00710BAA" w:rsidRDefault="00710BAA">
      <w:pPr>
        <w:pStyle w:val="EndnoteText"/>
      </w:pPr>
      <w:r>
        <w:rPr>
          <w:rStyle w:val="EndnoteReference"/>
        </w:rPr>
        <w:endnoteRef/>
      </w:r>
      <w:r>
        <w:t xml:space="preserve"> </w:t>
      </w:r>
      <w:r w:rsidRPr="00EE37B5">
        <w:t xml:space="preserve">James J. Hirsch &amp; Associates. (2014, February 11). </w:t>
      </w:r>
      <w:r>
        <w:rPr>
          <w:i/>
        </w:rPr>
        <w:t>DEER2014</w:t>
      </w:r>
      <w:r w:rsidRPr="00EE37B5">
        <w:rPr>
          <w:i/>
        </w:rPr>
        <w:t xml:space="preserve"> — Codes and Standards Update</w:t>
      </w:r>
      <w:r w:rsidRPr="00EE37B5">
        <w:t>. Retrieved from deeresources.com: http://deeresources.com/files/DEER2013codeUpdate/download/DEER2014UpdateDocumentation_2-12-2014.pdf</w:t>
      </w:r>
    </w:p>
  </w:endnote>
  <w:endnote w:id="11">
    <w:p w:rsidR="00710BAA" w:rsidRPr="000861D8" w:rsidRDefault="00710BAA" w:rsidP="00971A02">
      <w:pPr>
        <w:pStyle w:val="EndnoteText"/>
        <w:rPr>
          <w:i/>
        </w:rPr>
      </w:pPr>
      <w:r>
        <w:rPr>
          <w:rStyle w:val="EndnoteReference"/>
        </w:rPr>
        <w:endnoteRef/>
      </w:r>
      <w:r>
        <w:t xml:space="preserve"> Itron. </w:t>
      </w:r>
      <w:r w:rsidRPr="000861D8">
        <w:rPr>
          <w:i/>
        </w:rPr>
        <w:t>2010-2012 WO017</w:t>
      </w:r>
      <w:r>
        <w:rPr>
          <w:i/>
        </w:rPr>
        <w:t xml:space="preserve"> </w:t>
      </w:r>
      <w:r w:rsidRPr="000861D8">
        <w:rPr>
          <w:i/>
        </w:rPr>
        <w:t>Ex Ante Measure Cost Study</w:t>
      </w:r>
      <w:r>
        <w:rPr>
          <w:i/>
        </w:rPr>
        <w:t xml:space="preserve"> </w:t>
      </w:r>
      <w:r w:rsidRPr="000861D8">
        <w:rPr>
          <w:i/>
        </w:rPr>
        <w:t>Draft</w:t>
      </w:r>
      <w:r w:rsidRPr="00971A02">
        <w:rPr>
          <w:i/>
        </w:rPr>
        <w:t xml:space="preserve"> </w:t>
      </w:r>
      <w:r w:rsidRPr="0079279D">
        <w:rPr>
          <w:i/>
        </w:rPr>
        <w:t>Report</w:t>
      </w:r>
      <w:r>
        <w:rPr>
          <w:i/>
        </w:rPr>
        <w:t xml:space="preserve">. </w:t>
      </w:r>
      <w:r>
        <w:t xml:space="preserve">San Francisco, CA (2014, February 28). Retrived 4/24/2014 from </w:t>
      </w:r>
      <w:hyperlink r:id="rId2" w:history="1">
        <w:r w:rsidRPr="00B86BE9">
          <w:rPr>
            <w:rStyle w:val="Hyperlink"/>
          </w:rPr>
          <w:t>http://www.energydataweb.com/cpucFiles/pdaDocs/1039/2010-2012%20WO017%20Ex%20Ante%20Measure%20Cost%20Study%20-%20Draft%20Report.pdf</w:t>
        </w:r>
      </w:hyperlink>
    </w:p>
  </w:endnote>
  <w:endnote w:id="12">
    <w:p w:rsidR="00710BAA" w:rsidRDefault="00710BAA">
      <w:pPr>
        <w:pStyle w:val="EndnoteText"/>
      </w:pPr>
      <w:r>
        <w:rPr>
          <w:rStyle w:val="EndnoteReference"/>
        </w:rPr>
        <w:endnoteRef/>
      </w:r>
      <w:r>
        <w:t xml:space="preserve"> PECI, </w:t>
      </w:r>
      <w:r w:rsidRPr="000861D8">
        <w:rPr>
          <w:i/>
        </w:rPr>
        <w:t>DCV_CO2+ADEC cost data.xls.</w:t>
      </w:r>
      <w:r>
        <w:t xml:space="preserve"> 4/24/2014. </w:t>
      </w:r>
    </w:p>
    <w:p w:rsidR="00710BAA" w:rsidRPr="0050570F" w:rsidRDefault="00710BAA">
      <w:pPr>
        <w:pStyle w:val="EndnoteText"/>
      </w:pPr>
      <w: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75pt;height:49.85pt" o:ole="">
            <v:imagedata r:id="rId3" o:title=""/>
          </v:shape>
          <o:OLEObject Type="Embed" ProgID="Excel.Sheet.12" ShapeID="_x0000_i1026" DrawAspect="Icon" ObjectID="_1462016667" r:id="rId4"/>
        </w:object>
      </w:r>
    </w:p>
  </w:endnote>
  <w:endnote w:id="13">
    <w:p w:rsidR="00710BAA" w:rsidRDefault="00710BAA">
      <w:pPr>
        <w:pStyle w:val="EndnoteText"/>
      </w:pPr>
      <w:r>
        <w:rPr>
          <w:rStyle w:val="EndnoteReference"/>
        </w:rPr>
        <w:endnoteRef/>
      </w:r>
      <w:r>
        <w:t xml:space="preserve"> SCE, Measure Cost Revision 5 revised for PG&amp;E by S.L. Blanc 2012</w:t>
      </w:r>
    </w:p>
    <w:p w:rsidR="00710BAA" w:rsidRDefault="00710BAA">
      <w:pPr>
        <w:pStyle w:val="EndnoteText"/>
      </w:pPr>
      <w:r w:rsidRPr="003D298F">
        <w:t xml:space="preserve"> </w:t>
      </w:r>
      <w:bookmarkStart w:id="178" w:name="_MON_1382719778"/>
      <w:bookmarkStart w:id="179" w:name="_MON_1398086104"/>
      <w:bookmarkEnd w:id="178"/>
      <w:bookmarkEnd w:id="179"/>
      <w:bookmarkStart w:id="180" w:name="_MON_1398083315"/>
      <w:bookmarkEnd w:id="180"/>
      <w:r>
        <w:object w:dxaOrig="1536" w:dyaOrig="994" w14:anchorId="393A15C4">
          <v:shape id="_x0000_i1028" type="#_x0000_t75" style="width:76.75pt;height:49.85pt" o:ole="">
            <v:imagedata r:id="rId5" o:title=""/>
          </v:shape>
          <o:OLEObject Type="Embed" ProgID="Word.Document.8" ShapeID="_x0000_i1028" DrawAspect="Icon" ObjectID="_1462016668" r:id="rId6">
            <o:FieldCodes>\s</o:FieldCodes>
          </o:OLEObject>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BAA" w:rsidRDefault="00710BAA"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10BAA" w:rsidRDefault="00710B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BAA" w:rsidRPr="00846195" w:rsidRDefault="00710BAA"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710BAA" w:rsidRDefault="00710BAA"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Pr>
        <w:b/>
        <w:color w:val="FF0000"/>
        <w:sz w:val="20"/>
        <w:szCs w:val="20"/>
      </w:rPr>
      <w:t>0</w:t>
    </w:r>
    <w:r>
      <w:rPr>
        <w:b/>
        <w:sz w:val="20"/>
        <w:szCs w:val="20"/>
      </w:rPr>
      <w:tab/>
    </w:r>
    <w:r>
      <w:rPr>
        <w:b/>
        <w:sz w:val="20"/>
        <w:szCs w:val="20"/>
      </w:rPr>
      <w:tab/>
      <w:t>11/20/2007</w:t>
    </w:r>
  </w:p>
  <w:p w:rsidR="00710BAA" w:rsidRDefault="00710BAA" w:rsidP="00D7047A">
    <w:pPr>
      <w:pStyle w:val="Footer"/>
      <w:rPr>
        <w:b/>
        <w:sz w:val="20"/>
        <w:szCs w:val="20"/>
      </w:rPr>
    </w:pPr>
    <w:r>
      <w:rPr>
        <w:b/>
        <w:sz w:val="20"/>
        <w:szCs w:val="20"/>
      </w:rPr>
      <w:t>Pacific Gas &amp; Electric Company</w:t>
    </w:r>
  </w:p>
  <w:p w:rsidR="00710BAA" w:rsidRPr="00844B27" w:rsidRDefault="00710BAA"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PGECOHVC168 R0 Demand Controlled Ventilation_Draft_4-10-14_BL.docx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BAA" w:rsidRPr="002E0E3F" w:rsidRDefault="00710BAA" w:rsidP="00274A7E">
    <w:pPr>
      <w:pStyle w:val="Footer"/>
      <w:jc w:val="right"/>
      <w:rPr>
        <w:rFonts w:cs="Arial"/>
        <w:b/>
        <w:sz w:val="36"/>
        <w:szCs w:val="36"/>
      </w:rPr>
    </w:pPr>
    <w:r>
      <w:rPr>
        <w:rFonts w:cs="Arial"/>
        <w:b/>
        <w:sz w:val="36"/>
        <w:szCs w:val="36"/>
      </w:rPr>
      <w:t>Revision 0 5/05/2014</w:t>
    </w:r>
  </w:p>
  <w:p w:rsidR="00710BAA" w:rsidRDefault="00710BA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BAA" w:rsidRDefault="00710BAA"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10BAA" w:rsidRDefault="00710BA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BAA" w:rsidRPr="00DD3825" w:rsidRDefault="00710BAA" w:rsidP="00C747DF">
    <w:pPr>
      <w:pStyle w:val="Footer"/>
      <w:pBdr>
        <w:top w:val="single" w:sz="4" w:space="1" w:color="auto"/>
      </w:pBdr>
      <w:tabs>
        <w:tab w:val="clear" w:pos="4320"/>
        <w:tab w:val="clear" w:pos="8640"/>
        <w:tab w:val="right" w:pos="9360"/>
      </w:tabs>
      <w:rPr>
        <w:b/>
        <w:sz w:val="20"/>
        <w:szCs w:val="20"/>
      </w:rPr>
    </w:pPr>
    <w:r w:rsidRPr="00DD3825">
      <w:rPr>
        <w:b/>
        <w:sz w:val="20"/>
        <w:szCs w:val="20"/>
      </w:rPr>
      <w:t>PGECOHVC168 Demand Controlled Ventilation, Revision 0</w:t>
    </w:r>
    <w:r w:rsidRPr="00DD3825">
      <w:rPr>
        <w:b/>
        <w:sz w:val="20"/>
        <w:szCs w:val="20"/>
      </w:rPr>
      <w:tab/>
      <w:t>0</w:t>
    </w:r>
    <w:r>
      <w:rPr>
        <w:b/>
        <w:sz w:val="20"/>
        <w:szCs w:val="20"/>
      </w:rPr>
      <w:t>5</w:t>
    </w:r>
    <w:r w:rsidRPr="00DD3825">
      <w:rPr>
        <w:b/>
        <w:sz w:val="20"/>
        <w:szCs w:val="20"/>
      </w:rPr>
      <w:t xml:space="preserve"> </w:t>
    </w:r>
    <w:r>
      <w:rPr>
        <w:b/>
        <w:sz w:val="20"/>
        <w:szCs w:val="20"/>
      </w:rPr>
      <w:t>/05/</w:t>
    </w:r>
    <w:r w:rsidRPr="00DD3825">
      <w:rPr>
        <w:b/>
        <w:sz w:val="20"/>
        <w:szCs w:val="20"/>
      </w:rPr>
      <w:t xml:space="preserve"> 2014</w:t>
    </w:r>
  </w:p>
  <w:p w:rsidR="00710BAA" w:rsidRPr="00DD3825" w:rsidRDefault="00710BAA" w:rsidP="00D7047A">
    <w:pPr>
      <w:pStyle w:val="Footer"/>
      <w:rPr>
        <w:b/>
        <w:sz w:val="20"/>
        <w:szCs w:val="20"/>
      </w:rPr>
    </w:pPr>
    <w:r w:rsidRPr="00DD3825">
      <w:rPr>
        <w:b/>
        <w:sz w:val="20"/>
        <w:szCs w:val="20"/>
      </w:rPr>
      <w:t>Pacific Gas &amp; Electric Company</w:t>
    </w:r>
  </w:p>
  <w:p w:rsidR="00710BAA" w:rsidRPr="00DD3825" w:rsidRDefault="00710BAA" w:rsidP="00C747DF">
    <w:pPr>
      <w:pStyle w:val="Footer"/>
      <w:tabs>
        <w:tab w:val="clear" w:pos="4320"/>
        <w:tab w:val="clear" w:pos="8640"/>
        <w:tab w:val="right" w:pos="9360"/>
      </w:tabs>
      <w:rPr>
        <w:b/>
        <w:sz w:val="20"/>
        <w:szCs w:val="20"/>
      </w:rPr>
    </w:pPr>
    <w:r w:rsidRPr="00DD3825">
      <w:rPr>
        <w:b/>
        <w:sz w:val="20"/>
        <w:szCs w:val="20"/>
      </w:rPr>
      <w:fldChar w:fldCharType="begin"/>
    </w:r>
    <w:r w:rsidRPr="00DD3825">
      <w:rPr>
        <w:b/>
        <w:sz w:val="20"/>
        <w:szCs w:val="20"/>
      </w:rPr>
      <w:instrText xml:space="preserve"> FILENAME </w:instrText>
    </w:r>
    <w:r w:rsidRPr="00DD3825">
      <w:rPr>
        <w:b/>
        <w:sz w:val="20"/>
        <w:szCs w:val="20"/>
      </w:rPr>
      <w:fldChar w:fldCharType="separate"/>
    </w:r>
    <w:r w:rsidR="002F37B2">
      <w:rPr>
        <w:b/>
        <w:noProof/>
        <w:sz w:val="20"/>
        <w:szCs w:val="20"/>
      </w:rPr>
      <w:t>PGECOHVC168 R0 Demand Controlled Ventilation_05-05-14.docx</w:t>
    </w:r>
    <w:r w:rsidRPr="00DD3825">
      <w:rPr>
        <w:b/>
        <w:sz w:val="20"/>
        <w:szCs w:val="20"/>
      </w:rPr>
      <w:fldChar w:fldCharType="end"/>
    </w:r>
    <w:r w:rsidRPr="00DD3825">
      <w:rPr>
        <w:b/>
        <w:sz w:val="20"/>
        <w:szCs w:val="20"/>
      </w:rPr>
      <w:t xml:space="preserve"> </w:t>
    </w:r>
    <w:r w:rsidRPr="00DD3825">
      <w:rPr>
        <w:b/>
        <w:sz w:val="20"/>
        <w:szCs w:val="20"/>
      </w:rPr>
      <w:tab/>
    </w:r>
    <w:r w:rsidRPr="00DD3825">
      <w:rPr>
        <w:b/>
        <w:sz w:val="20"/>
        <w:szCs w:val="20"/>
      </w:rPr>
      <w:fldChar w:fldCharType="begin"/>
    </w:r>
    <w:r w:rsidRPr="00DD3825">
      <w:rPr>
        <w:b/>
        <w:sz w:val="20"/>
        <w:szCs w:val="20"/>
      </w:rPr>
      <w:instrText xml:space="preserve"> PAGE  \* Arabic  \* MERGEFORMAT </w:instrText>
    </w:r>
    <w:r w:rsidRPr="00DD3825">
      <w:rPr>
        <w:b/>
        <w:sz w:val="20"/>
        <w:szCs w:val="20"/>
      </w:rPr>
      <w:fldChar w:fldCharType="separate"/>
    </w:r>
    <w:r w:rsidR="00FF41C5">
      <w:rPr>
        <w:b/>
        <w:noProof/>
        <w:sz w:val="20"/>
        <w:szCs w:val="20"/>
      </w:rPr>
      <w:t>2</w:t>
    </w:r>
    <w:r w:rsidRPr="00DD3825">
      <w:rPr>
        <w:b/>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BAA" w:rsidRPr="002E0E3F" w:rsidRDefault="00710BAA" w:rsidP="00D7047A">
    <w:pPr>
      <w:pStyle w:val="Footer"/>
      <w:jc w:val="right"/>
      <w:rPr>
        <w:rFonts w:cs="Arial"/>
        <w:b/>
        <w:sz w:val="36"/>
        <w:szCs w:val="36"/>
      </w:rPr>
    </w:pPr>
    <w:r>
      <w:rPr>
        <w:rFonts w:cs="Arial"/>
        <w:b/>
        <w:sz w:val="36"/>
        <w:szCs w:val="36"/>
      </w:rPr>
      <w:t>Date of Last Revision</w:t>
    </w:r>
  </w:p>
  <w:p w:rsidR="00710BAA" w:rsidRDefault="00710B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988" w:rsidRDefault="008F0988">
      <w:r>
        <w:separator/>
      </w:r>
    </w:p>
    <w:p w:rsidR="008F0988" w:rsidRDefault="008F0988"/>
  </w:footnote>
  <w:footnote w:type="continuationSeparator" w:id="0">
    <w:p w:rsidR="008F0988" w:rsidRDefault="008F0988">
      <w:r>
        <w:continuationSeparator/>
      </w:r>
    </w:p>
    <w:p w:rsidR="008F0988" w:rsidRDefault="008F0988"/>
  </w:footnote>
  <w:footnote w:id="1">
    <w:p w:rsidR="00710BAA" w:rsidRDefault="00710BAA">
      <w:pPr>
        <w:pStyle w:val="FootnoteText"/>
      </w:pPr>
      <w:r>
        <w:rPr>
          <w:rStyle w:val="FootnoteReference"/>
        </w:rPr>
        <w:footnoteRef/>
      </w:r>
      <w:r>
        <w:t xml:space="preserve"> See </w:t>
      </w:r>
      <w:r>
        <w:fldChar w:fldCharType="begin"/>
      </w:r>
      <w:r>
        <w:instrText xml:space="preserve"> REF _Ref385928991 \h </w:instrText>
      </w:r>
      <w:r>
        <w:fldChar w:fldCharType="separate"/>
      </w:r>
      <w:r>
        <w:t xml:space="preserve">1.4.1 </w:t>
      </w:r>
      <w:r w:rsidRPr="001248A3">
        <w:t xml:space="preserve">DEER </w:t>
      </w:r>
      <w:r>
        <w:t>Base Case and Measure Case Information</w:t>
      </w:r>
      <w:r>
        <w:fldChar w:fldCharType="end"/>
      </w:r>
      <w:r>
        <w:t xml:space="preserve"> for description of DEER Prototypes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BAA" w:rsidRDefault="00FF41C5">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BAA" w:rsidRDefault="00710BAA" w:rsidP="001A573F">
    <w:pPr>
      <w:pStyle w:val="Header"/>
      <w:jc w:val="right"/>
    </w:pPr>
  </w:p>
  <w:p w:rsidR="00710BAA" w:rsidRDefault="00710BAA"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BAA" w:rsidRDefault="00FF41C5">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BAA" w:rsidRPr="00751CDE" w:rsidRDefault="00710BAA" w:rsidP="00751CD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BAA" w:rsidRDefault="00FF41C5">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DD607F3"/>
    <w:multiLevelType w:val="hybridMultilevel"/>
    <w:tmpl w:val="32F07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5D050AC"/>
    <w:multiLevelType w:val="hybridMultilevel"/>
    <w:tmpl w:val="2850D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2D683CF4"/>
    <w:multiLevelType w:val="hybridMultilevel"/>
    <w:tmpl w:val="4A1A3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970DE5"/>
    <w:multiLevelType w:val="hybridMultilevel"/>
    <w:tmpl w:val="5C28D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3">
    <w:nsid w:val="329E1C7C"/>
    <w:multiLevelType w:val="hybridMultilevel"/>
    <w:tmpl w:val="0EA2D4C0"/>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4">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E921D1"/>
    <w:multiLevelType w:val="hybridMultilevel"/>
    <w:tmpl w:val="33D250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4AB7CAC"/>
    <w:multiLevelType w:val="hybridMultilevel"/>
    <w:tmpl w:val="418E4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1">
    <w:nsid w:val="58F85B0F"/>
    <w:multiLevelType w:val="hybridMultilevel"/>
    <w:tmpl w:val="AD7AB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5D023B"/>
    <w:multiLevelType w:val="multilevel"/>
    <w:tmpl w:val="87AEBA58"/>
    <w:lvl w:ilvl="0">
      <w:start w:val="1"/>
      <w:numFmt w:val="decimal"/>
      <w:lvlText w:val="%1."/>
      <w:lvlJc w:val="left"/>
      <w:pPr>
        <w:ind w:left="360" w:hanging="360"/>
      </w:pPr>
    </w:lvl>
    <w:lvl w:ilvl="1">
      <w:start w:val="4"/>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314C7A"/>
    <w:multiLevelType w:val="hybridMultilevel"/>
    <w:tmpl w:val="2D4AB5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19508D"/>
    <w:multiLevelType w:val="hybridMultilevel"/>
    <w:tmpl w:val="E690BF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5B21E9"/>
    <w:multiLevelType w:val="hybridMultilevel"/>
    <w:tmpl w:val="48762B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DCE4212"/>
    <w:multiLevelType w:val="hybridMultilevel"/>
    <w:tmpl w:val="DA663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E934112"/>
    <w:multiLevelType w:val="hybridMultilevel"/>
    <w:tmpl w:val="2D4AB5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0D142F0"/>
    <w:multiLevelType w:val="hybridMultilevel"/>
    <w:tmpl w:val="7C3690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77820856"/>
    <w:multiLevelType w:val="singleLevel"/>
    <w:tmpl w:val="6C78A414"/>
    <w:lvl w:ilvl="0">
      <w:start w:val="1"/>
      <w:numFmt w:val="decimal"/>
      <w:lvlText w:val="%1."/>
      <w:legacy w:legacy="1" w:legacySpace="0" w:legacyIndent="0"/>
      <w:lvlJc w:val="left"/>
    </w:lvl>
  </w:abstractNum>
  <w:abstractNum w:abstractNumId="32">
    <w:nsid w:val="78D66F79"/>
    <w:multiLevelType w:val="hybridMultilevel"/>
    <w:tmpl w:val="9E7EC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4"/>
  </w:num>
  <w:num w:numId="3">
    <w:abstractNumId w:val="5"/>
  </w:num>
  <w:num w:numId="4">
    <w:abstractNumId w:val="7"/>
  </w:num>
  <w:num w:numId="5">
    <w:abstractNumId w:val="31"/>
  </w:num>
  <w:num w:numId="6">
    <w:abstractNumId w:val="12"/>
  </w:num>
  <w:num w:numId="7">
    <w:abstractNumId w:val="6"/>
  </w:num>
  <w:num w:numId="8">
    <w:abstractNumId w:val="16"/>
  </w:num>
  <w:num w:numId="9">
    <w:abstractNumId w:val="9"/>
  </w:num>
  <w:num w:numId="10">
    <w:abstractNumId w:val="1"/>
  </w:num>
  <w:num w:numId="11">
    <w:abstractNumId w:val="20"/>
  </w:num>
  <w:num w:numId="12">
    <w:abstractNumId w:val="23"/>
  </w:num>
  <w:num w:numId="13">
    <w:abstractNumId w:val="4"/>
  </w:num>
  <w:num w:numId="14">
    <w:abstractNumId w:val="34"/>
  </w:num>
  <w:num w:numId="15">
    <w:abstractNumId w:val="17"/>
  </w:num>
  <w:num w:numId="16">
    <w:abstractNumId w:val="18"/>
  </w:num>
  <w:num w:numId="17">
    <w:abstractNumId w:val="0"/>
  </w:num>
  <w:num w:numId="18">
    <w:abstractNumId w:val="33"/>
  </w:num>
  <w:num w:numId="19">
    <w:abstractNumId w:val="24"/>
  </w:num>
  <w:num w:numId="20">
    <w:abstractNumId w:val="27"/>
  </w:num>
  <w:num w:numId="21">
    <w:abstractNumId w:val="8"/>
  </w:num>
  <w:num w:numId="22">
    <w:abstractNumId w:val="10"/>
  </w:num>
  <w:num w:numId="23">
    <w:abstractNumId w:val="21"/>
  </w:num>
  <w:num w:numId="24">
    <w:abstractNumId w:val="32"/>
  </w:num>
  <w:num w:numId="25">
    <w:abstractNumId w:val="13"/>
  </w:num>
  <w:num w:numId="26">
    <w:abstractNumId w:val="28"/>
  </w:num>
  <w:num w:numId="27">
    <w:abstractNumId w:val="25"/>
  </w:num>
  <w:num w:numId="28">
    <w:abstractNumId w:val="26"/>
  </w:num>
  <w:num w:numId="29">
    <w:abstractNumId w:val="22"/>
  </w:num>
  <w:num w:numId="30">
    <w:abstractNumId w:val="29"/>
  </w:num>
  <w:num w:numId="31">
    <w:abstractNumId w:val="30"/>
  </w:num>
  <w:num w:numId="32">
    <w:abstractNumId w:val="2"/>
  </w:num>
  <w:num w:numId="33">
    <w:abstractNumId w:val="15"/>
  </w:num>
  <w:num w:numId="34">
    <w:abstractNumId w:val="1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0EF2"/>
    <w:rsid w:val="00003223"/>
    <w:rsid w:val="00003527"/>
    <w:rsid w:val="00005E70"/>
    <w:rsid w:val="00012F86"/>
    <w:rsid w:val="00014740"/>
    <w:rsid w:val="000170B5"/>
    <w:rsid w:val="00017488"/>
    <w:rsid w:val="00020042"/>
    <w:rsid w:val="0002129F"/>
    <w:rsid w:val="00023593"/>
    <w:rsid w:val="00024AA9"/>
    <w:rsid w:val="00026F78"/>
    <w:rsid w:val="000272C2"/>
    <w:rsid w:val="0003064A"/>
    <w:rsid w:val="00031D13"/>
    <w:rsid w:val="00032B63"/>
    <w:rsid w:val="000351CB"/>
    <w:rsid w:val="0003551F"/>
    <w:rsid w:val="000374A5"/>
    <w:rsid w:val="00044570"/>
    <w:rsid w:val="00044EAF"/>
    <w:rsid w:val="0005129B"/>
    <w:rsid w:val="00054BFB"/>
    <w:rsid w:val="00056348"/>
    <w:rsid w:val="000571F6"/>
    <w:rsid w:val="00057C09"/>
    <w:rsid w:val="00063FA7"/>
    <w:rsid w:val="0006490F"/>
    <w:rsid w:val="00065A01"/>
    <w:rsid w:val="00066D5B"/>
    <w:rsid w:val="000678A2"/>
    <w:rsid w:val="00067EB5"/>
    <w:rsid w:val="000701EB"/>
    <w:rsid w:val="00071053"/>
    <w:rsid w:val="000719AA"/>
    <w:rsid w:val="000749EA"/>
    <w:rsid w:val="0007589E"/>
    <w:rsid w:val="00076355"/>
    <w:rsid w:val="00077161"/>
    <w:rsid w:val="000814B9"/>
    <w:rsid w:val="000842B9"/>
    <w:rsid w:val="00085DF5"/>
    <w:rsid w:val="000861D8"/>
    <w:rsid w:val="00086594"/>
    <w:rsid w:val="00087378"/>
    <w:rsid w:val="000954D0"/>
    <w:rsid w:val="00095610"/>
    <w:rsid w:val="000966CC"/>
    <w:rsid w:val="000A17BE"/>
    <w:rsid w:val="000A2ABA"/>
    <w:rsid w:val="000A2FB3"/>
    <w:rsid w:val="000A48F2"/>
    <w:rsid w:val="000A7108"/>
    <w:rsid w:val="000B0854"/>
    <w:rsid w:val="000B0B1E"/>
    <w:rsid w:val="000B0BE7"/>
    <w:rsid w:val="000B52F7"/>
    <w:rsid w:val="000C0FD3"/>
    <w:rsid w:val="000C1D3F"/>
    <w:rsid w:val="000C5B2D"/>
    <w:rsid w:val="000C6D7B"/>
    <w:rsid w:val="000D17B9"/>
    <w:rsid w:val="000D1FC5"/>
    <w:rsid w:val="000E132D"/>
    <w:rsid w:val="000E2060"/>
    <w:rsid w:val="000E22C9"/>
    <w:rsid w:val="000E31B5"/>
    <w:rsid w:val="000F0069"/>
    <w:rsid w:val="000F11DD"/>
    <w:rsid w:val="000F19A9"/>
    <w:rsid w:val="000F55B1"/>
    <w:rsid w:val="000F5B49"/>
    <w:rsid w:val="00100BC0"/>
    <w:rsid w:val="00113464"/>
    <w:rsid w:val="00115EB1"/>
    <w:rsid w:val="001178BE"/>
    <w:rsid w:val="00117BCF"/>
    <w:rsid w:val="00120D84"/>
    <w:rsid w:val="0012176A"/>
    <w:rsid w:val="00121A22"/>
    <w:rsid w:val="00123696"/>
    <w:rsid w:val="001248A3"/>
    <w:rsid w:val="00124F32"/>
    <w:rsid w:val="00126483"/>
    <w:rsid w:val="00126A4E"/>
    <w:rsid w:val="0012766F"/>
    <w:rsid w:val="00127CC8"/>
    <w:rsid w:val="0013046A"/>
    <w:rsid w:val="0013080C"/>
    <w:rsid w:val="0013087E"/>
    <w:rsid w:val="00133198"/>
    <w:rsid w:val="00133C60"/>
    <w:rsid w:val="00136D56"/>
    <w:rsid w:val="00140B01"/>
    <w:rsid w:val="00145023"/>
    <w:rsid w:val="00146434"/>
    <w:rsid w:val="001465B1"/>
    <w:rsid w:val="00150EC7"/>
    <w:rsid w:val="001511E8"/>
    <w:rsid w:val="00155EF5"/>
    <w:rsid w:val="00156918"/>
    <w:rsid w:val="0016138E"/>
    <w:rsid w:val="00167C3B"/>
    <w:rsid w:val="00167F2B"/>
    <w:rsid w:val="0017179F"/>
    <w:rsid w:val="00172149"/>
    <w:rsid w:val="00175673"/>
    <w:rsid w:val="00176431"/>
    <w:rsid w:val="00183BE0"/>
    <w:rsid w:val="00183C8E"/>
    <w:rsid w:val="00190BBB"/>
    <w:rsid w:val="001912F5"/>
    <w:rsid w:val="00192B77"/>
    <w:rsid w:val="0019386D"/>
    <w:rsid w:val="001946B1"/>
    <w:rsid w:val="00194E14"/>
    <w:rsid w:val="0019648A"/>
    <w:rsid w:val="001965AF"/>
    <w:rsid w:val="00196D7C"/>
    <w:rsid w:val="00197A23"/>
    <w:rsid w:val="001A02D3"/>
    <w:rsid w:val="001A3026"/>
    <w:rsid w:val="001A4516"/>
    <w:rsid w:val="001A4CF4"/>
    <w:rsid w:val="001A550C"/>
    <w:rsid w:val="001A573F"/>
    <w:rsid w:val="001A64C6"/>
    <w:rsid w:val="001A7081"/>
    <w:rsid w:val="001A70AD"/>
    <w:rsid w:val="001A73E3"/>
    <w:rsid w:val="001B238D"/>
    <w:rsid w:val="001B242B"/>
    <w:rsid w:val="001B4ACB"/>
    <w:rsid w:val="001B5E15"/>
    <w:rsid w:val="001B75E6"/>
    <w:rsid w:val="001B792D"/>
    <w:rsid w:val="001C0CB0"/>
    <w:rsid w:val="001C1CAA"/>
    <w:rsid w:val="001C2942"/>
    <w:rsid w:val="001C4F51"/>
    <w:rsid w:val="001C63A2"/>
    <w:rsid w:val="001C78B2"/>
    <w:rsid w:val="001D0E87"/>
    <w:rsid w:val="001D11CE"/>
    <w:rsid w:val="001D16C2"/>
    <w:rsid w:val="001D3F48"/>
    <w:rsid w:val="001D483C"/>
    <w:rsid w:val="001E0B89"/>
    <w:rsid w:val="001E4C31"/>
    <w:rsid w:val="001E5EFA"/>
    <w:rsid w:val="001E7CA0"/>
    <w:rsid w:val="001F4083"/>
    <w:rsid w:val="001F40FA"/>
    <w:rsid w:val="001F60D5"/>
    <w:rsid w:val="001F627F"/>
    <w:rsid w:val="001F7023"/>
    <w:rsid w:val="00200174"/>
    <w:rsid w:val="00211042"/>
    <w:rsid w:val="00211BAC"/>
    <w:rsid w:val="002154B2"/>
    <w:rsid w:val="002170D6"/>
    <w:rsid w:val="002203EA"/>
    <w:rsid w:val="0022055B"/>
    <w:rsid w:val="0022067C"/>
    <w:rsid w:val="002207C3"/>
    <w:rsid w:val="0022428B"/>
    <w:rsid w:val="002257FA"/>
    <w:rsid w:val="00235694"/>
    <w:rsid w:val="002360E5"/>
    <w:rsid w:val="0024233E"/>
    <w:rsid w:val="00243BAC"/>
    <w:rsid w:val="00244BD6"/>
    <w:rsid w:val="00245A56"/>
    <w:rsid w:val="002466F4"/>
    <w:rsid w:val="00251781"/>
    <w:rsid w:val="00251E83"/>
    <w:rsid w:val="00252352"/>
    <w:rsid w:val="002524FD"/>
    <w:rsid w:val="00255067"/>
    <w:rsid w:val="0025738E"/>
    <w:rsid w:val="00257989"/>
    <w:rsid w:val="002628B9"/>
    <w:rsid w:val="00264B03"/>
    <w:rsid w:val="00272C09"/>
    <w:rsid w:val="0027474D"/>
    <w:rsid w:val="00274A7E"/>
    <w:rsid w:val="00276918"/>
    <w:rsid w:val="00276ED1"/>
    <w:rsid w:val="002775AB"/>
    <w:rsid w:val="0027792C"/>
    <w:rsid w:val="00283CA0"/>
    <w:rsid w:val="00285AF5"/>
    <w:rsid w:val="0028709C"/>
    <w:rsid w:val="00291D75"/>
    <w:rsid w:val="00295B67"/>
    <w:rsid w:val="002A135C"/>
    <w:rsid w:val="002A2C2E"/>
    <w:rsid w:val="002A4B6C"/>
    <w:rsid w:val="002A669E"/>
    <w:rsid w:val="002B0ECF"/>
    <w:rsid w:val="002B245C"/>
    <w:rsid w:val="002B4FEF"/>
    <w:rsid w:val="002C12FA"/>
    <w:rsid w:val="002C21F9"/>
    <w:rsid w:val="002C26EB"/>
    <w:rsid w:val="002C321E"/>
    <w:rsid w:val="002C42E0"/>
    <w:rsid w:val="002C4F1C"/>
    <w:rsid w:val="002C518C"/>
    <w:rsid w:val="002C7B46"/>
    <w:rsid w:val="002D0F51"/>
    <w:rsid w:val="002D27DC"/>
    <w:rsid w:val="002D3AE3"/>
    <w:rsid w:val="002D4621"/>
    <w:rsid w:val="002D5DAF"/>
    <w:rsid w:val="002E0043"/>
    <w:rsid w:val="002E1602"/>
    <w:rsid w:val="002E40A2"/>
    <w:rsid w:val="002E40A7"/>
    <w:rsid w:val="002E4280"/>
    <w:rsid w:val="002E47B4"/>
    <w:rsid w:val="002E4B46"/>
    <w:rsid w:val="002E5472"/>
    <w:rsid w:val="002E5671"/>
    <w:rsid w:val="002E6162"/>
    <w:rsid w:val="002E743C"/>
    <w:rsid w:val="002F105C"/>
    <w:rsid w:val="002F2D19"/>
    <w:rsid w:val="002F3610"/>
    <w:rsid w:val="002F37B2"/>
    <w:rsid w:val="002F3FE5"/>
    <w:rsid w:val="002F4E8C"/>
    <w:rsid w:val="002F564A"/>
    <w:rsid w:val="0030080B"/>
    <w:rsid w:val="0030114D"/>
    <w:rsid w:val="003014C2"/>
    <w:rsid w:val="0030207D"/>
    <w:rsid w:val="00302B74"/>
    <w:rsid w:val="003032B7"/>
    <w:rsid w:val="0030550A"/>
    <w:rsid w:val="00306662"/>
    <w:rsid w:val="0030799F"/>
    <w:rsid w:val="003129E8"/>
    <w:rsid w:val="00315AB7"/>
    <w:rsid w:val="00322AF1"/>
    <w:rsid w:val="00324AFE"/>
    <w:rsid w:val="00324D0F"/>
    <w:rsid w:val="003259CD"/>
    <w:rsid w:val="0032657A"/>
    <w:rsid w:val="00333E01"/>
    <w:rsid w:val="00335017"/>
    <w:rsid w:val="003408A4"/>
    <w:rsid w:val="00340DAD"/>
    <w:rsid w:val="00340DC8"/>
    <w:rsid w:val="00341CE5"/>
    <w:rsid w:val="00342EA6"/>
    <w:rsid w:val="00345971"/>
    <w:rsid w:val="00345DE6"/>
    <w:rsid w:val="0034647B"/>
    <w:rsid w:val="00350382"/>
    <w:rsid w:val="003530D2"/>
    <w:rsid w:val="00353DC2"/>
    <w:rsid w:val="003541A6"/>
    <w:rsid w:val="00362067"/>
    <w:rsid w:val="003643B0"/>
    <w:rsid w:val="003664B0"/>
    <w:rsid w:val="00374640"/>
    <w:rsid w:val="00377407"/>
    <w:rsid w:val="0038391A"/>
    <w:rsid w:val="00384A98"/>
    <w:rsid w:val="0039226B"/>
    <w:rsid w:val="00392B5E"/>
    <w:rsid w:val="00392C05"/>
    <w:rsid w:val="00393439"/>
    <w:rsid w:val="00393618"/>
    <w:rsid w:val="00393D41"/>
    <w:rsid w:val="00395845"/>
    <w:rsid w:val="003A1604"/>
    <w:rsid w:val="003A1B51"/>
    <w:rsid w:val="003A3AE6"/>
    <w:rsid w:val="003A4E08"/>
    <w:rsid w:val="003A648E"/>
    <w:rsid w:val="003A66D0"/>
    <w:rsid w:val="003A7230"/>
    <w:rsid w:val="003B350C"/>
    <w:rsid w:val="003B384E"/>
    <w:rsid w:val="003B51DE"/>
    <w:rsid w:val="003B6B5B"/>
    <w:rsid w:val="003C27C4"/>
    <w:rsid w:val="003C3A3C"/>
    <w:rsid w:val="003C48C5"/>
    <w:rsid w:val="003C5980"/>
    <w:rsid w:val="003C5C53"/>
    <w:rsid w:val="003C6DFA"/>
    <w:rsid w:val="003D04BC"/>
    <w:rsid w:val="003D298F"/>
    <w:rsid w:val="003D36AD"/>
    <w:rsid w:val="003D3F36"/>
    <w:rsid w:val="003D3F92"/>
    <w:rsid w:val="003D5191"/>
    <w:rsid w:val="003D60B8"/>
    <w:rsid w:val="003E15A5"/>
    <w:rsid w:val="003E24CE"/>
    <w:rsid w:val="003E3441"/>
    <w:rsid w:val="003E3941"/>
    <w:rsid w:val="003E540D"/>
    <w:rsid w:val="003E7422"/>
    <w:rsid w:val="003E7CF9"/>
    <w:rsid w:val="003E7D3D"/>
    <w:rsid w:val="003E7E0A"/>
    <w:rsid w:val="003F0CBE"/>
    <w:rsid w:val="003F1DFA"/>
    <w:rsid w:val="003F3179"/>
    <w:rsid w:val="003F3DED"/>
    <w:rsid w:val="003F57BD"/>
    <w:rsid w:val="003F5B70"/>
    <w:rsid w:val="003F61D9"/>
    <w:rsid w:val="004018B3"/>
    <w:rsid w:val="0040323C"/>
    <w:rsid w:val="00403FBE"/>
    <w:rsid w:val="00404BB1"/>
    <w:rsid w:val="004068C9"/>
    <w:rsid w:val="00406EDD"/>
    <w:rsid w:val="004078BB"/>
    <w:rsid w:val="0041339D"/>
    <w:rsid w:val="0041365D"/>
    <w:rsid w:val="004150E2"/>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16"/>
    <w:rsid w:val="004419D3"/>
    <w:rsid w:val="0044337C"/>
    <w:rsid w:val="00444B7F"/>
    <w:rsid w:val="00445790"/>
    <w:rsid w:val="00450273"/>
    <w:rsid w:val="004509A5"/>
    <w:rsid w:val="00453CE7"/>
    <w:rsid w:val="004551F3"/>
    <w:rsid w:val="00455856"/>
    <w:rsid w:val="004563F1"/>
    <w:rsid w:val="004602EC"/>
    <w:rsid w:val="004617A6"/>
    <w:rsid w:val="00465BE7"/>
    <w:rsid w:val="00467FE9"/>
    <w:rsid w:val="00474025"/>
    <w:rsid w:val="00474620"/>
    <w:rsid w:val="0048008C"/>
    <w:rsid w:val="004809C9"/>
    <w:rsid w:val="00480BAD"/>
    <w:rsid w:val="00480C7E"/>
    <w:rsid w:val="00481EE4"/>
    <w:rsid w:val="00481F63"/>
    <w:rsid w:val="004828D3"/>
    <w:rsid w:val="00486CF9"/>
    <w:rsid w:val="00487123"/>
    <w:rsid w:val="00487A47"/>
    <w:rsid w:val="00487D95"/>
    <w:rsid w:val="00492048"/>
    <w:rsid w:val="00494230"/>
    <w:rsid w:val="004959B4"/>
    <w:rsid w:val="004967A2"/>
    <w:rsid w:val="00497CD3"/>
    <w:rsid w:val="004A2D46"/>
    <w:rsid w:val="004A3A35"/>
    <w:rsid w:val="004A64C2"/>
    <w:rsid w:val="004A6FCA"/>
    <w:rsid w:val="004B0F48"/>
    <w:rsid w:val="004B11C4"/>
    <w:rsid w:val="004B2CFB"/>
    <w:rsid w:val="004B3924"/>
    <w:rsid w:val="004B4489"/>
    <w:rsid w:val="004B7247"/>
    <w:rsid w:val="004C4E2A"/>
    <w:rsid w:val="004C56D1"/>
    <w:rsid w:val="004D2C76"/>
    <w:rsid w:val="004D58D5"/>
    <w:rsid w:val="004D5C58"/>
    <w:rsid w:val="004D71AF"/>
    <w:rsid w:val="004D7301"/>
    <w:rsid w:val="004E16A6"/>
    <w:rsid w:val="004E2777"/>
    <w:rsid w:val="004F14D2"/>
    <w:rsid w:val="004F1DB8"/>
    <w:rsid w:val="004F21BC"/>
    <w:rsid w:val="004F31B8"/>
    <w:rsid w:val="004F3EDB"/>
    <w:rsid w:val="004F55EC"/>
    <w:rsid w:val="004F61DD"/>
    <w:rsid w:val="00502569"/>
    <w:rsid w:val="00503A6A"/>
    <w:rsid w:val="0050570F"/>
    <w:rsid w:val="00506204"/>
    <w:rsid w:val="00511171"/>
    <w:rsid w:val="005136CC"/>
    <w:rsid w:val="00513858"/>
    <w:rsid w:val="00514B37"/>
    <w:rsid w:val="00514EEC"/>
    <w:rsid w:val="005164A6"/>
    <w:rsid w:val="0052062E"/>
    <w:rsid w:val="00521874"/>
    <w:rsid w:val="00521920"/>
    <w:rsid w:val="005246B1"/>
    <w:rsid w:val="00530B04"/>
    <w:rsid w:val="00534386"/>
    <w:rsid w:val="00536140"/>
    <w:rsid w:val="0053662D"/>
    <w:rsid w:val="0053683E"/>
    <w:rsid w:val="00537B0D"/>
    <w:rsid w:val="005403E8"/>
    <w:rsid w:val="00542990"/>
    <w:rsid w:val="00542A98"/>
    <w:rsid w:val="00544873"/>
    <w:rsid w:val="00544FFD"/>
    <w:rsid w:val="005453C5"/>
    <w:rsid w:val="0054599C"/>
    <w:rsid w:val="00545A84"/>
    <w:rsid w:val="00547783"/>
    <w:rsid w:val="00551EF3"/>
    <w:rsid w:val="005539D8"/>
    <w:rsid w:val="00554084"/>
    <w:rsid w:val="00557E24"/>
    <w:rsid w:val="00560593"/>
    <w:rsid w:val="0056163A"/>
    <w:rsid w:val="00562217"/>
    <w:rsid w:val="00563BE5"/>
    <w:rsid w:val="00563D39"/>
    <w:rsid w:val="00567397"/>
    <w:rsid w:val="00571879"/>
    <w:rsid w:val="00574849"/>
    <w:rsid w:val="00574FBD"/>
    <w:rsid w:val="005773BB"/>
    <w:rsid w:val="00581CDB"/>
    <w:rsid w:val="00585C83"/>
    <w:rsid w:val="00586604"/>
    <w:rsid w:val="00586FA6"/>
    <w:rsid w:val="00587DDD"/>
    <w:rsid w:val="00591FDD"/>
    <w:rsid w:val="005962E7"/>
    <w:rsid w:val="005A1F9D"/>
    <w:rsid w:val="005A3798"/>
    <w:rsid w:val="005A67E5"/>
    <w:rsid w:val="005A7302"/>
    <w:rsid w:val="005B00A6"/>
    <w:rsid w:val="005B416F"/>
    <w:rsid w:val="005C2844"/>
    <w:rsid w:val="005C7E44"/>
    <w:rsid w:val="005C7F3F"/>
    <w:rsid w:val="005D1C39"/>
    <w:rsid w:val="005D302E"/>
    <w:rsid w:val="005D3A23"/>
    <w:rsid w:val="005D6266"/>
    <w:rsid w:val="005E2187"/>
    <w:rsid w:val="005E4FE9"/>
    <w:rsid w:val="005F19E0"/>
    <w:rsid w:val="005F3E96"/>
    <w:rsid w:val="005F57B5"/>
    <w:rsid w:val="005F7AA1"/>
    <w:rsid w:val="00600C82"/>
    <w:rsid w:val="00602F07"/>
    <w:rsid w:val="00604FAE"/>
    <w:rsid w:val="00607605"/>
    <w:rsid w:val="0061001E"/>
    <w:rsid w:val="00610B3C"/>
    <w:rsid w:val="00610FC6"/>
    <w:rsid w:val="00612EC6"/>
    <w:rsid w:val="00617583"/>
    <w:rsid w:val="00622319"/>
    <w:rsid w:val="00623394"/>
    <w:rsid w:val="00623BA1"/>
    <w:rsid w:val="0062416A"/>
    <w:rsid w:val="00625FB3"/>
    <w:rsid w:val="00626129"/>
    <w:rsid w:val="00632A52"/>
    <w:rsid w:val="00633A9C"/>
    <w:rsid w:val="00634414"/>
    <w:rsid w:val="00634539"/>
    <w:rsid w:val="00635990"/>
    <w:rsid w:val="00636012"/>
    <w:rsid w:val="00636987"/>
    <w:rsid w:val="00640BB6"/>
    <w:rsid w:val="00642FB9"/>
    <w:rsid w:val="00642FCD"/>
    <w:rsid w:val="006431F6"/>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832A4"/>
    <w:rsid w:val="006846E9"/>
    <w:rsid w:val="006871A4"/>
    <w:rsid w:val="006872DB"/>
    <w:rsid w:val="0068760D"/>
    <w:rsid w:val="00694DE4"/>
    <w:rsid w:val="00695ED2"/>
    <w:rsid w:val="006968B4"/>
    <w:rsid w:val="006A1022"/>
    <w:rsid w:val="006A1A83"/>
    <w:rsid w:val="006A2C4B"/>
    <w:rsid w:val="006A3C51"/>
    <w:rsid w:val="006A541C"/>
    <w:rsid w:val="006A55D2"/>
    <w:rsid w:val="006B3774"/>
    <w:rsid w:val="006B42B8"/>
    <w:rsid w:val="006B4563"/>
    <w:rsid w:val="006B6104"/>
    <w:rsid w:val="006B67A3"/>
    <w:rsid w:val="006B763D"/>
    <w:rsid w:val="006B7EDD"/>
    <w:rsid w:val="006C44B4"/>
    <w:rsid w:val="006D0365"/>
    <w:rsid w:val="006D2068"/>
    <w:rsid w:val="006D2592"/>
    <w:rsid w:val="006D2E0B"/>
    <w:rsid w:val="006D3725"/>
    <w:rsid w:val="006D4AE1"/>
    <w:rsid w:val="006D52D8"/>
    <w:rsid w:val="006D5AAB"/>
    <w:rsid w:val="006E0111"/>
    <w:rsid w:val="006E3C13"/>
    <w:rsid w:val="006E5CB6"/>
    <w:rsid w:val="006E6A9A"/>
    <w:rsid w:val="006F0139"/>
    <w:rsid w:val="006F105D"/>
    <w:rsid w:val="006F214B"/>
    <w:rsid w:val="006F28C7"/>
    <w:rsid w:val="007001DD"/>
    <w:rsid w:val="007002F0"/>
    <w:rsid w:val="00701D8E"/>
    <w:rsid w:val="0070443C"/>
    <w:rsid w:val="0071056A"/>
    <w:rsid w:val="00710BAA"/>
    <w:rsid w:val="00712407"/>
    <w:rsid w:val="00712477"/>
    <w:rsid w:val="007211BE"/>
    <w:rsid w:val="00721A54"/>
    <w:rsid w:val="00721C75"/>
    <w:rsid w:val="007228DB"/>
    <w:rsid w:val="00723862"/>
    <w:rsid w:val="00723EED"/>
    <w:rsid w:val="00725695"/>
    <w:rsid w:val="00726968"/>
    <w:rsid w:val="00731859"/>
    <w:rsid w:val="00733275"/>
    <w:rsid w:val="00735A4C"/>
    <w:rsid w:val="00735CB1"/>
    <w:rsid w:val="007363E5"/>
    <w:rsid w:val="00741F74"/>
    <w:rsid w:val="00742E8A"/>
    <w:rsid w:val="007431B7"/>
    <w:rsid w:val="00744DCA"/>
    <w:rsid w:val="00745482"/>
    <w:rsid w:val="0074677C"/>
    <w:rsid w:val="00746DDC"/>
    <w:rsid w:val="007475AA"/>
    <w:rsid w:val="0075061C"/>
    <w:rsid w:val="00751CDE"/>
    <w:rsid w:val="00754332"/>
    <w:rsid w:val="00754D25"/>
    <w:rsid w:val="00755961"/>
    <w:rsid w:val="00756A18"/>
    <w:rsid w:val="00757590"/>
    <w:rsid w:val="00762F0E"/>
    <w:rsid w:val="007652CE"/>
    <w:rsid w:val="00765936"/>
    <w:rsid w:val="0077416A"/>
    <w:rsid w:val="00775EB0"/>
    <w:rsid w:val="0077706D"/>
    <w:rsid w:val="00777A72"/>
    <w:rsid w:val="00781316"/>
    <w:rsid w:val="007821CF"/>
    <w:rsid w:val="007831EC"/>
    <w:rsid w:val="00783C79"/>
    <w:rsid w:val="00783DAC"/>
    <w:rsid w:val="00784500"/>
    <w:rsid w:val="00785112"/>
    <w:rsid w:val="00786700"/>
    <w:rsid w:val="007867D9"/>
    <w:rsid w:val="007878B9"/>
    <w:rsid w:val="00790C15"/>
    <w:rsid w:val="007931BC"/>
    <w:rsid w:val="00793646"/>
    <w:rsid w:val="0079521E"/>
    <w:rsid w:val="00796071"/>
    <w:rsid w:val="00797A01"/>
    <w:rsid w:val="00797A31"/>
    <w:rsid w:val="007A0C2E"/>
    <w:rsid w:val="007A1510"/>
    <w:rsid w:val="007A1A4D"/>
    <w:rsid w:val="007A4D97"/>
    <w:rsid w:val="007A6791"/>
    <w:rsid w:val="007A768C"/>
    <w:rsid w:val="007B2CAC"/>
    <w:rsid w:val="007B2E26"/>
    <w:rsid w:val="007B44FB"/>
    <w:rsid w:val="007C0E38"/>
    <w:rsid w:val="007C18E3"/>
    <w:rsid w:val="007C4E08"/>
    <w:rsid w:val="007D0411"/>
    <w:rsid w:val="007D2F4C"/>
    <w:rsid w:val="007D3BD3"/>
    <w:rsid w:val="007D3DFF"/>
    <w:rsid w:val="007D3F38"/>
    <w:rsid w:val="007D4DB8"/>
    <w:rsid w:val="007E0CC0"/>
    <w:rsid w:val="007E131F"/>
    <w:rsid w:val="007E20BF"/>
    <w:rsid w:val="007E2197"/>
    <w:rsid w:val="007E3304"/>
    <w:rsid w:val="007E6C79"/>
    <w:rsid w:val="007F1E48"/>
    <w:rsid w:val="007F2147"/>
    <w:rsid w:val="007F33A6"/>
    <w:rsid w:val="007F36E9"/>
    <w:rsid w:val="007F4605"/>
    <w:rsid w:val="007F6C7D"/>
    <w:rsid w:val="008026F6"/>
    <w:rsid w:val="00803F84"/>
    <w:rsid w:val="00806070"/>
    <w:rsid w:val="00806EE8"/>
    <w:rsid w:val="00811D89"/>
    <w:rsid w:val="00814500"/>
    <w:rsid w:val="00822F77"/>
    <w:rsid w:val="00830536"/>
    <w:rsid w:val="008311B0"/>
    <w:rsid w:val="00833983"/>
    <w:rsid w:val="00833AF7"/>
    <w:rsid w:val="00834023"/>
    <w:rsid w:val="00835579"/>
    <w:rsid w:val="00836F9B"/>
    <w:rsid w:val="00837E21"/>
    <w:rsid w:val="00844106"/>
    <w:rsid w:val="00844B27"/>
    <w:rsid w:val="00844D29"/>
    <w:rsid w:val="00846195"/>
    <w:rsid w:val="00846FA0"/>
    <w:rsid w:val="008479B6"/>
    <w:rsid w:val="00850432"/>
    <w:rsid w:val="00851ABA"/>
    <w:rsid w:val="00853B76"/>
    <w:rsid w:val="0086002F"/>
    <w:rsid w:val="008639B7"/>
    <w:rsid w:val="00863F9D"/>
    <w:rsid w:val="008645F9"/>
    <w:rsid w:val="0086628A"/>
    <w:rsid w:val="008674D9"/>
    <w:rsid w:val="008701F4"/>
    <w:rsid w:val="00871279"/>
    <w:rsid w:val="00872913"/>
    <w:rsid w:val="00873F82"/>
    <w:rsid w:val="0087599D"/>
    <w:rsid w:val="00876556"/>
    <w:rsid w:val="00880CA5"/>
    <w:rsid w:val="008817B1"/>
    <w:rsid w:val="008834BB"/>
    <w:rsid w:val="008840FA"/>
    <w:rsid w:val="008846D2"/>
    <w:rsid w:val="00884D6C"/>
    <w:rsid w:val="00890F95"/>
    <w:rsid w:val="0089311A"/>
    <w:rsid w:val="00893724"/>
    <w:rsid w:val="008946C3"/>
    <w:rsid w:val="008948E0"/>
    <w:rsid w:val="0089528C"/>
    <w:rsid w:val="008A1884"/>
    <w:rsid w:val="008A22F5"/>
    <w:rsid w:val="008A6467"/>
    <w:rsid w:val="008B034D"/>
    <w:rsid w:val="008B0BBC"/>
    <w:rsid w:val="008B4153"/>
    <w:rsid w:val="008B5356"/>
    <w:rsid w:val="008B7927"/>
    <w:rsid w:val="008C319D"/>
    <w:rsid w:val="008C5AF3"/>
    <w:rsid w:val="008C6AD1"/>
    <w:rsid w:val="008C71B5"/>
    <w:rsid w:val="008D55B0"/>
    <w:rsid w:val="008D6285"/>
    <w:rsid w:val="008E431F"/>
    <w:rsid w:val="008E5E12"/>
    <w:rsid w:val="008F00CA"/>
    <w:rsid w:val="008F08CC"/>
    <w:rsid w:val="008F0988"/>
    <w:rsid w:val="008F0D2A"/>
    <w:rsid w:val="008F12D4"/>
    <w:rsid w:val="008F17A0"/>
    <w:rsid w:val="008F23EF"/>
    <w:rsid w:val="008F386F"/>
    <w:rsid w:val="008F48E1"/>
    <w:rsid w:val="008F5BD0"/>
    <w:rsid w:val="009003FE"/>
    <w:rsid w:val="009037F0"/>
    <w:rsid w:val="00903C95"/>
    <w:rsid w:val="009046D4"/>
    <w:rsid w:val="009074ED"/>
    <w:rsid w:val="0091058D"/>
    <w:rsid w:val="00913858"/>
    <w:rsid w:val="00913A0F"/>
    <w:rsid w:val="00914959"/>
    <w:rsid w:val="00915CE6"/>
    <w:rsid w:val="00916468"/>
    <w:rsid w:val="009168A1"/>
    <w:rsid w:val="009241E2"/>
    <w:rsid w:val="00924681"/>
    <w:rsid w:val="0092622E"/>
    <w:rsid w:val="00926C09"/>
    <w:rsid w:val="0093071D"/>
    <w:rsid w:val="00930877"/>
    <w:rsid w:val="009340E7"/>
    <w:rsid w:val="00945CB0"/>
    <w:rsid w:val="00950136"/>
    <w:rsid w:val="00951188"/>
    <w:rsid w:val="00953D89"/>
    <w:rsid w:val="00955732"/>
    <w:rsid w:val="00955CBA"/>
    <w:rsid w:val="0096086E"/>
    <w:rsid w:val="00960BB3"/>
    <w:rsid w:val="00960F2F"/>
    <w:rsid w:val="009634F6"/>
    <w:rsid w:val="00963B5E"/>
    <w:rsid w:val="00963FA0"/>
    <w:rsid w:val="0096491F"/>
    <w:rsid w:val="00971A02"/>
    <w:rsid w:val="00974A35"/>
    <w:rsid w:val="00974E95"/>
    <w:rsid w:val="00975F2D"/>
    <w:rsid w:val="00977BF5"/>
    <w:rsid w:val="00982A82"/>
    <w:rsid w:val="0098302D"/>
    <w:rsid w:val="009833EF"/>
    <w:rsid w:val="00987608"/>
    <w:rsid w:val="009943A0"/>
    <w:rsid w:val="00994674"/>
    <w:rsid w:val="009953BC"/>
    <w:rsid w:val="009963D2"/>
    <w:rsid w:val="009A0568"/>
    <w:rsid w:val="009A0AF9"/>
    <w:rsid w:val="009A16BE"/>
    <w:rsid w:val="009A2337"/>
    <w:rsid w:val="009A292C"/>
    <w:rsid w:val="009A2E00"/>
    <w:rsid w:val="009A355A"/>
    <w:rsid w:val="009A5CE8"/>
    <w:rsid w:val="009A7B5A"/>
    <w:rsid w:val="009A7F79"/>
    <w:rsid w:val="009B1863"/>
    <w:rsid w:val="009B2500"/>
    <w:rsid w:val="009B2BDC"/>
    <w:rsid w:val="009B5F5D"/>
    <w:rsid w:val="009B6201"/>
    <w:rsid w:val="009B6326"/>
    <w:rsid w:val="009B73BA"/>
    <w:rsid w:val="009C01EE"/>
    <w:rsid w:val="009C105B"/>
    <w:rsid w:val="009C10D9"/>
    <w:rsid w:val="009C425A"/>
    <w:rsid w:val="009C5CA7"/>
    <w:rsid w:val="009C7C8D"/>
    <w:rsid w:val="009D03F8"/>
    <w:rsid w:val="009D16CD"/>
    <w:rsid w:val="009D1DF4"/>
    <w:rsid w:val="009D5AEC"/>
    <w:rsid w:val="009D644D"/>
    <w:rsid w:val="009D7A24"/>
    <w:rsid w:val="009E00E4"/>
    <w:rsid w:val="009E0D20"/>
    <w:rsid w:val="009E0F6B"/>
    <w:rsid w:val="009E20C3"/>
    <w:rsid w:val="009E23B7"/>
    <w:rsid w:val="009E27D7"/>
    <w:rsid w:val="009E2964"/>
    <w:rsid w:val="009E5D18"/>
    <w:rsid w:val="009E7DCD"/>
    <w:rsid w:val="009F220F"/>
    <w:rsid w:val="009F237B"/>
    <w:rsid w:val="009F55F9"/>
    <w:rsid w:val="009F5CC0"/>
    <w:rsid w:val="009F6F8B"/>
    <w:rsid w:val="009F7164"/>
    <w:rsid w:val="00A0081B"/>
    <w:rsid w:val="00A01631"/>
    <w:rsid w:val="00A02F0A"/>
    <w:rsid w:val="00A1074D"/>
    <w:rsid w:val="00A111F4"/>
    <w:rsid w:val="00A127DD"/>
    <w:rsid w:val="00A13830"/>
    <w:rsid w:val="00A14E6C"/>
    <w:rsid w:val="00A15516"/>
    <w:rsid w:val="00A167EC"/>
    <w:rsid w:val="00A172E6"/>
    <w:rsid w:val="00A20AD0"/>
    <w:rsid w:val="00A22C02"/>
    <w:rsid w:val="00A24434"/>
    <w:rsid w:val="00A24C8D"/>
    <w:rsid w:val="00A26F15"/>
    <w:rsid w:val="00A30E37"/>
    <w:rsid w:val="00A32AE2"/>
    <w:rsid w:val="00A35CF8"/>
    <w:rsid w:val="00A360E7"/>
    <w:rsid w:val="00A400FB"/>
    <w:rsid w:val="00A443D1"/>
    <w:rsid w:val="00A456B3"/>
    <w:rsid w:val="00A46D8A"/>
    <w:rsid w:val="00A47BFE"/>
    <w:rsid w:val="00A5087E"/>
    <w:rsid w:val="00A51808"/>
    <w:rsid w:val="00A51D78"/>
    <w:rsid w:val="00A51EA8"/>
    <w:rsid w:val="00A549C3"/>
    <w:rsid w:val="00A55DD1"/>
    <w:rsid w:val="00A561A8"/>
    <w:rsid w:val="00A562A6"/>
    <w:rsid w:val="00A57BA4"/>
    <w:rsid w:val="00A614C3"/>
    <w:rsid w:val="00A62A4D"/>
    <w:rsid w:val="00A646B3"/>
    <w:rsid w:val="00A657F1"/>
    <w:rsid w:val="00A67F8F"/>
    <w:rsid w:val="00A7007B"/>
    <w:rsid w:val="00A70B62"/>
    <w:rsid w:val="00A71623"/>
    <w:rsid w:val="00A71E1C"/>
    <w:rsid w:val="00A71F50"/>
    <w:rsid w:val="00A72E75"/>
    <w:rsid w:val="00A77CF2"/>
    <w:rsid w:val="00A81CF8"/>
    <w:rsid w:val="00A8249F"/>
    <w:rsid w:val="00A84B87"/>
    <w:rsid w:val="00A84C75"/>
    <w:rsid w:val="00A84D4B"/>
    <w:rsid w:val="00A856D1"/>
    <w:rsid w:val="00A8592D"/>
    <w:rsid w:val="00A90D08"/>
    <w:rsid w:val="00A93CA2"/>
    <w:rsid w:val="00A93FFF"/>
    <w:rsid w:val="00A95746"/>
    <w:rsid w:val="00A95AB5"/>
    <w:rsid w:val="00A96D45"/>
    <w:rsid w:val="00A973EE"/>
    <w:rsid w:val="00AA18DD"/>
    <w:rsid w:val="00AA1F91"/>
    <w:rsid w:val="00AA5CE1"/>
    <w:rsid w:val="00AB1D66"/>
    <w:rsid w:val="00AB2137"/>
    <w:rsid w:val="00AB2D9E"/>
    <w:rsid w:val="00AB4404"/>
    <w:rsid w:val="00AB4D58"/>
    <w:rsid w:val="00AB675E"/>
    <w:rsid w:val="00AB68E3"/>
    <w:rsid w:val="00AB723D"/>
    <w:rsid w:val="00AC1DF2"/>
    <w:rsid w:val="00AC21EE"/>
    <w:rsid w:val="00AC3B22"/>
    <w:rsid w:val="00AC4101"/>
    <w:rsid w:val="00AC5597"/>
    <w:rsid w:val="00AC6C3F"/>
    <w:rsid w:val="00AD0116"/>
    <w:rsid w:val="00AD0E5C"/>
    <w:rsid w:val="00AD1B42"/>
    <w:rsid w:val="00AD4177"/>
    <w:rsid w:val="00AD4B84"/>
    <w:rsid w:val="00AD7F98"/>
    <w:rsid w:val="00AE23BE"/>
    <w:rsid w:val="00AE5772"/>
    <w:rsid w:val="00AF0AC0"/>
    <w:rsid w:val="00AF1423"/>
    <w:rsid w:val="00AF1807"/>
    <w:rsid w:val="00AF4CA9"/>
    <w:rsid w:val="00AF5B52"/>
    <w:rsid w:val="00B008BF"/>
    <w:rsid w:val="00B00947"/>
    <w:rsid w:val="00B03E05"/>
    <w:rsid w:val="00B04A5D"/>
    <w:rsid w:val="00B07460"/>
    <w:rsid w:val="00B1338A"/>
    <w:rsid w:val="00B16978"/>
    <w:rsid w:val="00B16BE4"/>
    <w:rsid w:val="00B17EBB"/>
    <w:rsid w:val="00B20F3F"/>
    <w:rsid w:val="00B24A6F"/>
    <w:rsid w:val="00B278DB"/>
    <w:rsid w:val="00B30D4F"/>
    <w:rsid w:val="00B3434E"/>
    <w:rsid w:val="00B34454"/>
    <w:rsid w:val="00B351FD"/>
    <w:rsid w:val="00B35BFD"/>
    <w:rsid w:val="00B36E76"/>
    <w:rsid w:val="00B421F2"/>
    <w:rsid w:val="00B424F3"/>
    <w:rsid w:val="00B42596"/>
    <w:rsid w:val="00B42822"/>
    <w:rsid w:val="00B42C54"/>
    <w:rsid w:val="00B4395A"/>
    <w:rsid w:val="00B44D59"/>
    <w:rsid w:val="00B4553E"/>
    <w:rsid w:val="00B46773"/>
    <w:rsid w:val="00B47091"/>
    <w:rsid w:val="00B4731E"/>
    <w:rsid w:val="00B47E14"/>
    <w:rsid w:val="00B54256"/>
    <w:rsid w:val="00B545F4"/>
    <w:rsid w:val="00B56303"/>
    <w:rsid w:val="00B57F5C"/>
    <w:rsid w:val="00B64F62"/>
    <w:rsid w:val="00B66717"/>
    <w:rsid w:val="00B6671E"/>
    <w:rsid w:val="00B66898"/>
    <w:rsid w:val="00B7164C"/>
    <w:rsid w:val="00B72BDE"/>
    <w:rsid w:val="00B74832"/>
    <w:rsid w:val="00B74917"/>
    <w:rsid w:val="00B750CF"/>
    <w:rsid w:val="00B76C70"/>
    <w:rsid w:val="00B80787"/>
    <w:rsid w:val="00B807AB"/>
    <w:rsid w:val="00B80F53"/>
    <w:rsid w:val="00B82E26"/>
    <w:rsid w:val="00B86BE9"/>
    <w:rsid w:val="00B87886"/>
    <w:rsid w:val="00B95FBC"/>
    <w:rsid w:val="00B960C5"/>
    <w:rsid w:val="00B97C44"/>
    <w:rsid w:val="00BA05AE"/>
    <w:rsid w:val="00BA2FA3"/>
    <w:rsid w:val="00BA3D42"/>
    <w:rsid w:val="00BA6418"/>
    <w:rsid w:val="00BA7D18"/>
    <w:rsid w:val="00BB0578"/>
    <w:rsid w:val="00BB0D6A"/>
    <w:rsid w:val="00BB3A8F"/>
    <w:rsid w:val="00BC19F6"/>
    <w:rsid w:val="00BC2A83"/>
    <w:rsid w:val="00BC67A0"/>
    <w:rsid w:val="00BC725F"/>
    <w:rsid w:val="00BC7447"/>
    <w:rsid w:val="00BD02D0"/>
    <w:rsid w:val="00BD0D15"/>
    <w:rsid w:val="00BD5425"/>
    <w:rsid w:val="00BD6F74"/>
    <w:rsid w:val="00BE2DC7"/>
    <w:rsid w:val="00BE5E74"/>
    <w:rsid w:val="00BE62D7"/>
    <w:rsid w:val="00BE6429"/>
    <w:rsid w:val="00BF0332"/>
    <w:rsid w:val="00BF078E"/>
    <w:rsid w:val="00BF5FCC"/>
    <w:rsid w:val="00BF680E"/>
    <w:rsid w:val="00C00FA2"/>
    <w:rsid w:val="00C02519"/>
    <w:rsid w:val="00C069A2"/>
    <w:rsid w:val="00C069EC"/>
    <w:rsid w:val="00C17416"/>
    <w:rsid w:val="00C1748F"/>
    <w:rsid w:val="00C212D1"/>
    <w:rsid w:val="00C221D5"/>
    <w:rsid w:val="00C2280A"/>
    <w:rsid w:val="00C2652B"/>
    <w:rsid w:val="00C274E0"/>
    <w:rsid w:val="00C30598"/>
    <w:rsid w:val="00C31E08"/>
    <w:rsid w:val="00C346C7"/>
    <w:rsid w:val="00C373FB"/>
    <w:rsid w:val="00C41E61"/>
    <w:rsid w:val="00C42F56"/>
    <w:rsid w:val="00C45C85"/>
    <w:rsid w:val="00C463DA"/>
    <w:rsid w:val="00C515CA"/>
    <w:rsid w:val="00C51E28"/>
    <w:rsid w:val="00C533E6"/>
    <w:rsid w:val="00C56730"/>
    <w:rsid w:val="00C6024F"/>
    <w:rsid w:val="00C60CE3"/>
    <w:rsid w:val="00C6186E"/>
    <w:rsid w:val="00C63D95"/>
    <w:rsid w:val="00C64A94"/>
    <w:rsid w:val="00C64B94"/>
    <w:rsid w:val="00C729B1"/>
    <w:rsid w:val="00C739BF"/>
    <w:rsid w:val="00C7457D"/>
    <w:rsid w:val="00C745D1"/>
    <w:rsid w:val="00C747DF"/>
    <w:rsid w:val="00C74F44"/>
    <w:rsid w:val="00C76421"/>
    <w:rsid w:val="00C768C1"/>
    <w:rsid w:val="00C76C24"/>
    <w:rsid w:val="00C7740D"/>
    <w:rsid w:val="00C80E3F"/>
    <w:rsid w:val="00C85064"/>
    <w:rsid w:val="00C87539"/>
    <w:rsid w:val="00C90663"/>
    <w:rsid w:val="00C93DCA"/>
    <w:rsid w:val="00CA071B"/>
    <w:rsid w:val="00CA5466"/>
    <w:rsid w:val="00CA591D"/>
    <w:rsid w:val="00CA734B"/>
    <w:rsid w:val="00CB0475"/>
    <w:rsid w:val="00CB2C4F"/>
    <w:rsid w:val="00CB3583"/>
    <w:rsid w:val="00CB6A8C"/>
    <w:rsid w:val="00CC34FF"/>
    <w:rsid w:val="00CC3DC7"/>
    <w:rsid w:val="00CC44F0"/>
    <w:rsid w:val="00CD0E5B"/>
    <w:rsid w:val="00CD0FE9"/>
    <w:rsid w:val="00CD396E"/>
    <w:rsid w:val="00CD5104"/>
    <w:rsid w:val="00CD6046"/>
    <w:rsid w:val="00CE06A5"/>
    <w:rsid w:val="00CE202E"/>
    <w:rsid w:val="00CE2229"/>
    <w:rsid w:val="00CE2651"/>
    <w:rsid w:val="00CE374E"/>
    <w:rsid w:val="00CF0534"/>
    <w:rsid w:val="00CF3FF0"/>
    <w:rsid w:val="00CF41AF"/>
    <w:rsid w:val="00CF4567"/>
    <w:rsid w:val="00CF53AB"/>
    <w:rsid w:val="00CF6815"/>
    <w:rsid w:val="00D04D3D"/>
    <w:rsid w:val="00D11B02"/>
    <w:rsid w:val="00D1202C"/>
    <w:rsid w:val="00D12617"/>
    <w:rsid w:val="00D134F6"/>
    <w:rsid w:val="00D16DDF"/>
    <w:rsid w:val="00D16E24"/>
    <w:rsid w:val="00D20486"/>
    <w:rsid w:val="00D228D8"/>
    <w:rsid w:val="00D30FF5"/>
    <w:rsid w:val="00D31439"/>
    <w:rsid w:val="00D3279E"/>
    <w:rsid w:val="00D33677"/>
    <w:rsid w:val="00D33AF6"/>
    <w:rsid w:val="00D34934"/>
    <w:rsid w:val="00D373EC"/>
    <w:rsid w:val="00D403EF"/>
    <w:rsid w:val="00D4180D"/>
    <w:rsid w:val="00D42875"/>
    <w:rsid w:val="00D42B44"/>
    <w:rsid w:val="00D44A14"/>
    <w:rsid w:val="00D47738"/>
    <w:rsid w:val="00D51A9B"/>
    <w:rsid w:val="00D51B97"/>
    <w:rsid w:val="00D51D95"/>
    <w:rsid w:val="00D53EC6"/>
    <w:rsid w:val="00D55A00"/>
    <w:rsid w:val="00D56F77"/>
    <w:rsid w:val="00D61E9F"/>
    <w:rsid w:val="00D62CC8"/>
    <w:rsid w:val="00D6402F"/>
    <w:rsid w:val="00D67531"/>
    <w:rsid w:val="00D7047A"/>
    <w:rsid w:val="00D719E9"/>
    <w:rsid w:val="00D72225"/>
    <w:rsid w:val="00D73550"/>
    <w:rsid w:val="00D80526"/>
    <w:rsid w:val="00D838F7"/>
    <w:rsid w:val="00D845DB"/>
    <w:rsid w:val="00D8479E"/>
    <w:rsid w:val="00D84A14"/>
    <w:rsid w:val="00D868F1"/>
    <w:rsid w:val="00D87EFF"/>
    <w:rsid w:val="00D91AE6"/>
    <w:rsid w:val="00D92F52"/>
    <w:rsid w:val="00D93AE9"/>
    <w:rsid w:val="00D941E0"/>
    <w:rsid w:val="00D947B8"/>
    <w:rsid w:val="00D95840"/>
    <w:rsid w:val="00DA1699"/>
    <w:rsid w:val="00DA1A0B"/>
    <w:rsid w:val="00DA39DA"/>
    <w:rsid w:val="00DA554C"/>
    <w:rsid w:val="00DA58D4"/>
    <w:rsid w:val="00DA5F07"/>
    <w:rsid w:val="00DB42FB"/>
    <w:rsid w:val="00DB50D9"/>
    <w:rsid w:val="00DB7AEE"/>
    <w:rsid w:val="00DC14EF"/>
    <w:rsid w:val="00DC31B8"/>
    <w:rsid w:val="00DC39C4"/>
    <w:rsid w:val="00DC4019"/>
    <w:rsid w:val="00DC4568"/>
    <w:rsid w:val="00DD0941"/>
    <w:rsid w:val="00DD1C47"/>
    <w:rsid w:val="00DD3825"/>
    <w:rsid w:val="00DD5D00"/>
    <w:rsid w:val="00DD6B5E"/>
    <w:rsid w:val="00DE21B1"/>
    <w:rsid w:val="00DE2929"/>
    <w:rsid w:val="00DE4BF6"/>
    <w:rsid w:val="00DE52C2"/>
    <w:rsid w:val="00DE69D0"/>
    <w:rsid w:val="00DE7070"/>
    <w:rsid w:val="00DE77A3"/>
    <w:rsid w:val="00DF02F6"/>
    <w:rsid w:val="00DF21B8"/>
    <w:rsid w:val="00DF2A16"/>
    <w:rsid w:val="00DF31EE"/>
    <w:rsid w:val="00DF3395"/>
    <w:rsid w:val="00DF3B79"/>
    <w:rsid w:val="00DF7681"/>
    <w:rsid w:val="00E02D36"/>
    <w:rsid w:val="00E03431"/>
    <w:rsid w:val="00E044FE"/>
    <w:rsid w:val="00E04E43"/>
    <w:rsid w:val="00E05E74"/>
    <w:rsid w:val="00E0609A"/>
    <w:rsid w:val="00E079A3"/>
    <w:rsid w:val="00E11BD0"/>
    <w:rsid w:val="00E132E2"/>
    <w:rsid w:val="00E149CE"/>
    <w:rsid w:val="00E16AC4"/>
    <w:rsid w:val="00E17C58"/>
    <w:rsid w:val="00E2178D"/>
    <w:rsid w:val="00E23958"/>
    <w:rsid w:val="00E23AD4"/>
    <w:rsid w:val="00E23BEC"/>
    <w:rsid w:val="00E23EC3"/>
    <w:rsid w:val="00E24E4D"/>
    <w:rsid w:val="00E2618B"/>
    <w:rsid w:val="00E267F1"/>
    <w:rsid w:val="00E346B5"/>
    <w:rsid w:val="00E34E73"/>
    <w:rsid w:val="00E375C8"/>
    <w:rsid w:val="00E3770F"/>
    <w:rsid w:val="00E41EEE"/>
    <w:rsid w:val="00E4302B"/>
    <w:rsid w:val="00E528AF"/>
    <w:rsid w:val="00E53131"/>
    <w:rsid w:val="00E5518E"/>
    <w:rsid w:val="00E56222"/>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0955"/>
    <w:rsid w:val="00E81BD0"/>
    <w:rsid w:val="00E8374A"/>
    <w:rsid w:val="00E83C98"/>
    <w:rsid w:val="00E840FE"/>
    <w:rsid w:val="00E84DBD"/>
    <w:rsid w:val="00E879C6"/>
    <w:rsid w:val="00E9128A"/>
    <w:rsid w:val="00E91C15"/>
    <w:rsid w:val="00E943E8"/>
    <w:rsid w:val="00E945CE"/>
    <w:rsid w:val="00E94FAF"/>
    <w:rsid w:val="00E957A4"/>
    <w:rsid w:val="00E9724F"/>
    <w:rsid w:val="00EA0528"/>
    <w:rsid w:val="00EA347E"/>
    <w:rsid w:val="00EA38B4"/>
    <w:rsid w:val="00EA4E02"/>
    <w:rsid w:val="00EA6276"/>
    <w:rsid w:val="00EA7AD3"/>
    <w:rsid w:val="00EB048C"/>
    <w:rsid w:val="00EB201F"/>
    <w:rsid w:val="00EB2C67"/>
    <w:rsid w:val="00EB367C"/>
    <w:rsid w:val="00EB3A56"/>
    <w:rsid w:val="00EB43BA"/>
    <w:rsid w:val="00EB4429"/>
    <w:rsid w:val="00EB46D0"/>
    <w:rsid w:val="00EB4700"/>
    <w:rsid w:val="00EB7F72"/>
    <w:rsid w:val="00EC4357"/>
    <w:rsid w:val="00EC45F7"/>
    <w:rsid w:val="00EC468E"/>
    <w:rsid w:val="00EC49A4"/>
    <w:rsid w:val="00EC4EF3"/>
    <w:rsid w:val="00ED182F"/>
    <w:rsid w:val="00ED20C9"/>
    <w:rsid w:val="00ED21EE"/>
    <w:rsid w:val="00ED272D"/>
    <w:rsid w:val="00ED29E9"/>
    <w:rsid w:val="00ED37E1"/>
    <w:rsid w:val="00ED3B31"/>
    <w:rsid w:val="00ED4EC4"/>
    <w:rsid w:val="00ED6C04"/>
    <w:rsid w:val="00ED7D3D"/>
    <w:rsid w:val="00EE37B5"/>
    <w:rsid w:val="00EE4094"/>
    <w:rsid w:val="00EE4C9D"/>
    <w:rsid w:val="00EE4D57"/>
    <w:rsid w:val="00EE53FF"/>
    <w:rsid w:val="00EE5E83"/>
    <w:rsid w:val="00EE7092"/>
    <w:rsid w:val="00EF2F5C"/>
    <w:rsid w:val="00EF3A92"/>
    <w:rsid w:val="00EF7590"/>
    <w:rsid w:val="00F024CA"/>
    <w:rsid w:val="00F0354F"/>
    <w:rsid w:val="00F04D07"/>
    <w:rsid w:val="00F1013F"/>
    <w:rsid w:val="00F10A99"/>
    <w:rsid w:val="00F11394"/>
    <w:rsid w:val="00F138A2"/>
    <w:rsid w:val="00F154EB"/>
    <w:rsid w:val="00F20632"/>
    <w:rsid w:val="00F23738"/>
    <w:rsid w:val="00F2392E"/>
    <w:rsid w:val="00F26C8D"/>
    <w:rsid w:val="00F30846"/>
    <w:rsid w:val="00F30878"/>
    <w:rsid w:val="00F30CAB"/>
    <w:rsid w:val="00F32479"/>
    <w:rsid w:val="00F327DF"/>
    <w:rsid w:val="00F33121"/>
    <w:rsid w:val="00F33769"/>
    <w:rsid w:val="00F36DEB"/>
    <w:rsid w:val="00F406FD"/>
    <w:rsid w:val="00F414D0"/>
    <w:rsid w:val="00F434DF"/>
    <w:rsid w:val="00F4532C"/>
    <w:rsid w:val="00F47557"/>
    <w:rsid w:val="00F47D9D"/>
    <w:rsid w:val="00F50558"/>
    <w:rsid w:val="00F50A8E"/>
    <w:rsid w:val="00F52372"/>
    <w:rsid w:val="00F52572"/>
    <w:rsid w:val="00F54E14"/>
    <w:rsid w:val="00F55847"/>
    <w:rsid w:val="00F57142"/>
    <w:rsid w:val="00F5756D"/>
    <w:rsid w:val="00F630A2"/>
    <w:rsid w:val="00F63E1C"/>
    <w:rsid w:val="00F652AB"/>
    <w:rsid w:val="00F65942"/>
    <w:rsid w:val="00F713F9"/>
    <w:rsid w:val="00F71421"/>
    <w:rsid w:val="00F724AC"/>
    <w:rsid w:val="00F72AA0"/>
    <w:rsid w:val="00F76A40"/>
    <w:rsid w:val="00F80C07"/>
    <w:rsid w:val="00F85020"/>
    <w:rsid w:val="00F853BD"/>
    <w:rsid w:val="00F85CEE"/>
    <w:rsid w:val="00F87264"/>
    <w:rsid w:val="00F908E9"/>
    <w:rsid w:val="00F94761"/>
    <w:rsid w:val="00F96A18"/>
    <w:rsid w:val="00F96C5C"/>
    <w:rsid w:val="00F96C94"/>
    <w:rsid w:val="00FA2AE9"/>
    <w:rsid w:val="00FA2B8F"/>
    <w:rsid w:val="00FA47E6"/>
    <w:rsid w:val="00FA56D6"/>
    <w:rsid w:val="00FA595F"/>
    <w:rsid w:val="00FA6C24"/>
    <w:rsid w:val="00FA7E1F"/>
    <w:rsid w:val="00FB375E"/>
    <w:rsid w:val="00FB4101"/>
    <w:rsid w:val="00FB651A"/>
    <w:rsid w:val="00FB689D"/>
    <w:rsid w:val="00FB778C"/>
    <w:rsid w:val="00FC0CB3"/>
    <w:rsid w:val="00FC2999"/>
    <w:rsid w:val="00FC37C0"/>
    <w:rsid w:val="00FC765F"/>
    <w:rsid w:val="00FC781D"/>
    <w:rsid w:val="00FC7AEC"/>
    <w:rsid w:val="00FD0021"/>
    <w:rsid w:val="00FD1861"/>
    <w:rsid w:val="00FD5375"/>
    <w:rsid w:val="00FD61A3"/>
    <w:rsid w:val="00FD66C9"/>
    <w:rsid w:val="00FD79F6"/>
    <w:rsid w:val="00FE0371"/>
    <w:rsid w:val="00FE1258"/>
    <w:rsid w:val="00FE1FC7"/>
    <w:rsid w:val="00FE31D0"/>
    <w:rsid w:val="00FE3581"/>
    <w:rsid w:val="00FE7A3F"/>
    <w:rsid w:val="00FF0A6F"/>
    <w:rsid w:val="00FF19E4"/>
    <w:rsid w:val="00FF34FF"/>
    <w:rsid w:val="00FF41C5"/>
    <w:rsid w:val="00FF4E87"/>
    <w:rsid w:val="00FF5C5C"/>
    <w:rsid w:val="00FF7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Bibliography">
    <w:name w:val="Bibliography"/>
    <w:basedOn w:val="Normal"/>
    <w:next w:val="Normal"/>
    <w:uiPriority w:val="37"/>
    <w:unhideWhenUsed/>
    <w:rsid w:val="005539D8"/>
  </w:style>
  <w:style w:type="paragraph" w:styleId="ListParagraph">
    <w:name w:val="List Paragraph"/>
    <w:basedOn w:val="Normal"/>
    <w:uiPriority w:val="34"/>
    <w:qFormat/>
    <w:rsid w:val="00F724AC"/>
    <w:pPr>
      <w:ind w:left="720"/>
      <w:contextualSpacing/>
    </w:pPr>
  </w:style>
  <w:style w:type="character" w:styleId="IntenseEmphasis">
    <w:name w:val="Intense Emphasis"/>
    <w:uiPriority w:val="21"/>
    <w:qFormat/>
    <w:rsid w:val="00A84C75"/>
    <w:rPr>
      <w:rFonts w:ascii="Arial" w:hAnsi="Arial"/>
      <w:b w:val="0"/>
      <w:bCs/>
      <w:i w:val="0"/>
      <w:iCs/>
      <w:color w:val="auto"/>
      <w:sz w:val="22"/>
      <w:vertAlign w:val="superscript"/>
    </w:rPr>
  </w:style>
  <w:style w:type="character" w:styleId="PlaceholderText">
    <w:name w:val="Placeholder Text"/>
    <w:basedOn w:val="DefaultParagraphFont"/>
    <w:uiPriority w:val="99"/>
    <w:semiHidden/>
    <w:rsid w:val="0096086E"/>
    <w:rPr>
      <w:color w:val="808080"/>
    </w:rPr>
  </w:style>
  <w:style w:type="table" w:styleId="TableColumns4">
    <w:name w:val="Table Columns 4"/>
    <w:basedOn w:val="TableNormal"/>
    <w:rsid w:val="00A72E75"/>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customStyle="1" w:styleId="Tabletext">
    <w:name w:val="Table text"/>
    <w:basedOn w:val="Normal"/>
    <w:link w:val="TabletextChar"/>
    <w:qFormat/>
    <w:rsid w:val="00600C82"/>
    <w:pPr>
      <w:jc w:val="center"/>
    </w:pPr>
    <w:rPr>
      <w:rFonts w:cs="Arial"/>
      <w:sz w:val="20"/>
      <w:szCs w:val="20"/>
    </w:rPr>
  </w:style>
  <w:style w:type="character" w:customStyle="1" w:styleId="TabletextChar">
    <w:name w:val="Table text Char"/>
    <w:link w:val="Tabletext"/>
    <w:rsid w:val="00600C82"/>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Bibliography">
    <w:name w:val="Bibliography"/>
    <w:basedOn w:val="Normal"/>
    <w:next w:val="Normal"/>
    <w:uiPriority w:val="37"/>
    <w:unhideWhenUsed/>
    <w:rsid w:val="005539D8"/>
  </w:style>
  <w:style w:type="paragraph" w:styleId="ListParagraph">
    <w:name w:val="List Paragraph"/>
    <w:basedOn w:val="Normal"/>
    <w:uiPriority w:val="34"/>
    <w:qFormat/>
    <w:rsid w:val="00F724AC"/>
    <w:pPr>
      <w:ind w:left="720"/>
      <w:contextualSpacing/>
    </w:pPr>
  </w:style>
  <w:style w:type="character" w:styleId="IntenseEmphasis">
    <w:name w:val="Intense Emphasis"/>
    <w:uiPriority w:val="21"/>
    <w:qFormat/>
    <w:rsid w:val="00A84C75"/>
    <w:rPr>
      <w:rFonts w:ascii="Arial" w:hAnsi="Arial"/>
      <w:b w:val="0"/>
      <w:bCs/>
      <w:i w:val="0"/>
      <w:iCs/>
      <w:color w:val="auto"/>
      <w:sz w:val="22"/>
      <w:vertAlign w:val="superscript"/>
    </w:rPr>
  </w:style>
  <w:style w:type="character" w:styleId="PlaceholderText">
    <w:name w:val="Placeholder Text"/>
    <w:basedOn w:val="DefaultParagraphFont"/>
    <w:uiPriority w:val="99"/>
    <w:semiHidden/>
    <w:rsid w:val="0096086E"/>
    <w:rPr>
      <w:color w:val="808080"/>
    </w:rPr>
  </w:style>
  <w:style w:type="table" w:styleId="TableColumns4">
    <w:name w:val="Table Columns 4"/>
    <w:basedOn w:val="TableNormal"/>
    <w:rsid w:val="00A72E75"/>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customStyle="1" w:styleId="Tabletext">
    <w:name w:val="Table text"/>
    <w:basedOn w:val="Normal"/>
    <w:link w:val="TabletextChar"/>
    <w:qFormat/>
    <w:rsid w:val="00600C82"/>
    <w:pPr>
      <w:jc w:val="center"/>
    </w:pPr>
    <w:rPr>
      <w:rFonts w:cs="Arial"/>
      <w:sz w:val="20"/>
      <w:szCs w:val="20"/>
    </w:rPr>
  </w:style>
  <w:style w:type="character" w:customStyle="1" w:styleId="TabletextChar">
    <w:name w:val="Table text Char"/>
    <w:link w:val="Tabletext"/>
    <w:rsid w:val="00600C82"/>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52666366">
      <w:bodyDiv w:val="1"/>
      <w:marLeft w:val="0"/>
      <w:marRight w:val="0"/>
      <w:marTop w:val="0"/>
      <w:marBottom w:val="0"/>
      <w:divBdr>
        <w:top w:val="none" w:sz="0" w:space="0" w:color="auto"/>
        <w:left w:val="none" w:sz="0" w:space="0" w:color="auto"/>
        <w:bottom w:val="none" w:sz="0" w:space="0" w:color="auto"/>
        <w:right w:val="none" w:sz="0" w:space="0" w:color="auto"/>
      </w:divBdr>
    </w:div>
    <w:div w:id="571355618">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53874046">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831872857">
      <w:bodyDiv w:val="1"/>
      <w:marLeft w:val="0"/>
      <w:marRight w:val="0"/>
      <w:marTop w:val="0"/>
      <w:marBottom w:val="0"/>
      <w:divBdr>
        <w:top w:val="none" w:sz="0" w:space="0" w:color="auto"/>
        <w:left w:val="none" w:sz="0" w:space="0" w:color="auto"/>
        <w:bottom w:val="none" w:sz="0" w:space="0" w:color="auto"/>
        <w:right w:val="none" w:sz="0" w:space="0" w:color="auto"/>
      </w:divBdr>
    </w:div>
    <w:div w:id="847789835">
      <w:bodyDiv w:val="1"/>
      <w:marLeft w:val="0"/>
      <w:marRight w:val="0"/>
      <w:marTop w:val="0"/>
      <w:marBottom w:val="0"/>
      <w:divBdr>
        <w:top w:val="none" w:sz="0" w:space="0" w:color="auto"/>
        <w:left w:val="none" w:sz="0" w:space="0" w:color="auto"/>
        <w:bottom w:val="none" w:sz="0" w:space="0" w:color="auto"/>
        <w:right w:val="none" w:sz="0" w:space="0" w:color="auto"/>
      </w:divBdr>
    </w:div>
    <w:div w:id="866603425">
      <w:bodyDiv w:val="1"/>
      <w:marLeft w:val="0"/>
      <w:marRight w:val="0"/>
      <w:marTop w:val="0"/>
      <w:marBottom w:val="0"/>
      <w:divBdr>
        <w:top w:val="none" w:sz="0" w:space="0" w:color="auto"/>
        <w:left w:val="none" w:sz="0" w:space="0" w:color="auto"/>
        <w:bottom w:val="none" w:sz="0" w:space="0" w:color="auto"/>
        <w:right w:val="none" w:sz="0" w:space="0" w:color="auto"/>
      </w:divBdr>
    </w:div>
    <w:div w:id="993337128">
      <w:bodyDiv w:val="1"/>
      <w:marLeft w:val="0"/>
      <w:marRight w:val="0"/>
      <w:marTop w:val="0"/>
      <w:marBottom w:val="0"/>
      <w:divBdr>
        <w:top w:val="none" w:sz="0" w:space="0" w:color="auto"/>
        <w:left w:val="none" w:sz="0" w:space="0" w:color="auto"/>
        <w:bottom w:val="none" w:sz="0" w:space="0" w:color="auto"/>
        <w:right w:val="none" w:sz="0" w:space="0" w:color="auto"/>
      </w:divBdr>
    </w:div>
    <w:div w:id="996225399">
      <w:bodyDiv w:val="1"/>
      <w:marLeft w:val="0"/>
      <w:marRight w:val="0"/>
      <w:marTop w:val="0"/>
      <w:marBottom w:val="0"/>
      <w:divBdr>
        <w:top w:val="none" w:sz="0" w:space="0" w:color="auto"/>
        <w:left w:val="none" w:sz="0" w:space="0" w:color="auto"/>
        <w:bottom w:val="none" w:sz="0" w:space="0" w:color="auto"/>
        <w:right w:val="none" w:sz="0" w:space="0" w:color="auto"/>
      </w:divBdr>
    </w:div>
    <w:div w:id="1025206514">
      <w:bodyDiv w:val="1"/>
      <w:marLeft w:val="0"/>
      <w:marRight w:val="0"/>
      <w:marTop w:val="0"/>
      <w:marBottom w:val="0"/>
      <w:divBdr>
        <w:top w:val="none" w:sz="0" w:space="0" w:color="auto"/>
        <w:left w:val="none" w:sz="0" w:space="0" w:color="auto"/>
        <w:bottom w:val="none" w:sz="0" w:space="0" w:color="auto"/>
        <w:right w:val="none" w:sz="0" w:space="0" w:color="auto"/>
      </w:divBdr>
    </w:div>
    <w:div w:id="1096941951">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59263805">
      <w:bodyDiv w:val="1"/>
      <w:marLeft w:val="0"/>
      <w:marRight w:val="0"/>
      <w:marTop w:val="0"/>
      <w:marBottom w:val="0"/>
      <w:divBdr>
        <w:top w:val="none" w:sz="0" w:space="0" w:color="auto"/>
        <w:left w:val="none" w:sz="0" w:space="0" w:color="auto"/>
        <w:bottom w:val="none" w:sz="0" w:space="0" w:color="auto"/>
        <w:right w:val="none" w:sz="0" w:space="0" w:color="auto"/>
      </w:divBdr>
    </w:div>
    <w:div w:id="1662074055">
      <w:bodyDiv w:val="1"/>
      <w:marLeft w:val="0"/>
      <w:marRight w:val="0"/>
      <w:marTop w:val="0"/>
      <w:marBottom w:val="0"/>
      <w:divBdr>
        <w:top w:val="none" w:sz="0" w:space="0" w:color="auto"/>
        <w:left w:val="none" w:sz="0" w:space="0" w:color="auto"/>
        <w:bottom w:val="none" w:sz="0" w:space="0" w:color="auto"/>
        <w:right w:val="none" w:sz="0" w:space="0" w:color="auto"/>
      </w:divBdr>
    </w:div>
    <w:div w:id="1737823965">
      <w:bodyDiv w:val="1"/>
      <w:marLeft w:val="0"/>
      <w:marRight w:val="0"/>
      <w:marTop w:val="0"/>
      <w:marBottom w:val="0"/>
      <w:divBdr>
        <w:top w:val="none" w:sz="0" w:space="0" w:color="auto"/>
        <w:left w:val="none" w:sz="0" w:space="0" w:color="auto"/>
        <w:bottom w:val="none" w:sz="0" w:space="0" w:color="auto"/>
        <w:right w:val="none" w:sz="0" w:space="0" w:color="auto"/>
      </w:divBdr>
    </w:div>
    <w:div w:id="1738476773">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90077864">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s>
</file>

<file path=word/_rels/endnotes.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hyperlink" Target="http://www.energydataweb.com/cpucFiles/pdaDocs/1039/2010-2012%20WO017%20Ex%20Ante%20Measure%20Cost%20Study%20-%20Draft%20Report.pdf" TargetMode="External"/><Relationship Id="rId1" Type="http://schemas.openxmlformats.org/officeDocument/2006/relationships/hyperlink" Target="http://www.deeresources.com" TargetMode="External"/><Relationship Id="rId6" Type="http://schemas.openxmlformats.org/officeDocument/2006/relationships/oleObject" Target="embeddings/Microsoft_Word_97_-_2003_Document1.doc"/><Relationship Id="rId5" Type="http://schemas.openxmlformats.org/officeDocument/2006/relationships/image" Target="media/image3.emf"/><Relationship Id="rId4" Type="http://schemas.openxmlformats.org/officeDocument/2006/relationships/package" Target="embeddings/Microsoft_Excel_Worksheet1.xlsx"/></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Sixth Edition">
  <b:Source>
    <b:Tag>Cal13</b:Tag>
    <b:SourceType>ElectronicSource</b:SourceType>
    <b:Guid>{B0050FCD-69CE-4B66-879A-DC5411FC8936}</b:Guid>
    <b:Title>2013 Building Energy Efficiency Standards for Residential and Nonresidential Buildings (Title 24, Part 6)</b:Title>
    <b:Year>2013</b:Year>
    <b:Month>November</b:Month>
    <b:Day>25</b:Day>
    <b:Author>
      <b:Author>
        <b:Corporate>California Energy Commission</b:Corporate>
      </b:Author>
    </b:Author>
    <b:City>Sacramento</b:City>
    <b:StateProvince>California</b:StateProvince>
    <b:CountryRegion>United States of America</b:CountryRegion>
    <b:ShortTitle>Title 24</b:ShortTitle>
    <b:RefOrder>1</b:RefOrder>
  </b:Source>
  <b:Source>
    <b:Tag>Jam</b:Tag>
    <b:SourceType>InternetSite</b:SourceType>
    <b:Guid>{DF0CCFEA-9572-4897-AF6D-D8A9456C4F78}</b:Guid>
    <b:Author>
      <b:Author>
        <b:Corporate>James J. Hirsch &amp; Associates</b:Corporate>
      </b:Author>
    </b:Author>
    <b:URL>http://deeresources.com/files/DEER2013codeUpdate/download/SetupMASControlX32_3_00_19.msi</b:URL>
    <b:Title>MASControl 3.00.19</b:Title>
    <b:InternetSiteTitle>deeresources.com</b:InternetSiteTitle>
    <b:Year>2013</b:Year>
    <b:Month>September</b:Month>
    <b:Day>9</b:Day>
    <b:RefOrder>2</b:RefOrder>
  </b:Source>
  <b:Source>
    <b:Tag>Jam10</b:Tag>
    <b:SourceType>InternetSite</b:SourceType>
    <b:Guid>{AFF76916-F2BD-4E29-A6E2-9983ABC96F1E}</b:Guid>
    <b:Title>eQUEST 3.64</b:Title>
    <b:Year>2010</b:Year>
    <b:Month>August</b:Month>
    <b:Day>25</b:Day>
    <b:InternetSiteTitle>DOE2.com</b:InternetSiteTitle>
    <b:URL>http://www.doe2.com/download/equest/eQUEST_3-64_Setup.exe</b:URL>
    <b:Author>
      <b:Author>
        <b:Corporate>James J. Hirsch &amp; Associates</b:Corporate>
      </b:Author>
    </b:Author>
    <b:RefOrder>3</b:RefOrder>
  </b:Source>
  <b:Source>
    <b:Tag>Law14</b:Tag>
    <b:SourceType>DocumentFromInternetSite</b:SourceType>
    <b:Guid>{E3E10042-06BE-4A4A-8E65-98AFAD0884CB}</b:Guid>
    <b:Title>DOE-2.2 Building Energy Use and Cost Analysis Program </b:Title>
    <b:Year>2014</b:Year>
    <b:Author>
      <b:Author>
        <b:Corporate>Lawrence Berkeley National Laboratory; James J. Hirsch &amp; Associates</b:Corporate>
      </b:Author>
    </b:Author>
    <b:InternetSiteTitle>DOE2.com</b:InternetSiteTitle>
    <b:Month>February</b:Month>
    <b:URL>http://doe2.com/download/DOE-22/DOE22Vol2-Dictionary_48r.pdf</b:URL>
    <b:RefOrder>4</b:RefOrder>
  </b:Source>
  <b:Source>
    <b:Tag>Jam14</b:Tag>
    <b:SourceType>DocumentFromInternetSite</b:SourceType>
    <b:Guid>{9B1B4DB8-C90D-44C7-BACC-438028A584EC}</b:Guid>
    <b:Author>
      <b:Author>
        <b:Corporate>James J. Hirsch &amp; Associates</b:Corporate>
      </b:Author>
    </b:Author>
    <b:Title>DEER2014* — Codes and Standards Update </b:Title>
    <b:Year>2014</b:Year>
    <b:InternetSiteTitle>deeresources.com</b:InternetSiteTitle>
    <b:Month>February</b:Month>
    <b:Day>11</b:Day>
    <b:URL>http://deeresources.com/files/DEER2013codeUpdate/download/DEER2014UpdateDocumentation_2-12-2014.pdf</b:URL>
    <b:RefOrder>5</b:RefOrder>
  </b:Source>
</b:Sources>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90AC4E56-104E-4524-9907-9F647E8A4177}">
  <ds:schemaRef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EA4F5F3-2C55-4A40-A904-CE9D18758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25</Pages>
  <Words>6773</Words>
  <Characters>42696</Characters>
  <Application>Microsoft Office Word</Application>
  <DocSecurity>0</DocSecurity>
  <Lines>355</Lines>
  <Paragraphs>98</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49371</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2014-04-17T23:11:00Z</cp:lastPrinted>
  <dcterms:created xsi:type="dcterms:W3CDTF">2014-05-19T21:58:00Z</dcterms:created>
  <dcterms:modified xsi:type="dcterms:W3CDTF">2014-05-19T21:58:00Z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